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sz w:val="44"/>
          <w:szCs w:val="44"/>
        </w:rPr>
      </w:pPr>
      <w:bookmarkStart w:id="0" w:name="_GoBack"/>
      <w:r>
        <w:rPr>
          <w:rFonts w:hint="eastAsia" w:ascii="宋体" w:hAnsi="宋体"/>
          <w:b/>
          <w:sz w:val="44"/>
          <w:szCs w:val="44"/>
        </w:rPr>
        <w:t>20</w:t>
      </w:r>
      <w:r>
        <w:rPr>
          <w:rFonts w:ascii="宋体" w:hAnsi="宋体"/>
          <w:b/>
          <w:sz w:val="44"/>
          <w:szCs w:val="44"/>
        </w:rPr>
        <w:t>21</w:t>
      </w:r>
      <w:r>
        <w:rPr>
          <w:rFonts w:hint="eastAsia" w:ascii="宋体" w:hAnsi="宋体"/>
          <w:b/>
          <w:sz w:val="44"/>
          <w:szCs w:val="44"/>
        </w:rPr>
        <w:t>年嘉兴市住房和城乡建设局所属事业</w:t>
      </w:r>
    </w:p>
    <w:p>
      <w:pPr>
        <w:spacing w:line="560" w:lineRule="exact"/>
        <w:jc w:val="center"/>
        <w:rPr>
          <w:rFonts w:hint="eastAsia" w:ascii="宋体" w:hAnsi="宋体"/>
          <w:b/>
          <w:sz w:val="44"/>
          <w:szCs w:val="44"/>
        </w:rPr>
      </w:pPr>
      <w:r>
        <w:rPr>
          <w:rFonts w:hint="eastAsia" w:ascii="宋体" w:hAnsi="宋体"/>
          <w:b/>
          <w:sz w:val="44"/>
          <w:szCs w:val="44"/>
        </w:rPr>
        <w:t>单位公开招聘高层次紧缺人才公告</w:t>
      </w:r>
      <w:bookmarkEnd w:id="0"/>
    </w:p>
    <w:p>
      <w:pPr>
        <w:snapToGrid w:val="0"/>
        <w:spacing w:line="540" w:lineRule="exact"/>
        <w:ind w:left="159" w:leftChars="76" w:firstLine="480" w:firstLineChars="150"/>
        <w:jc w:val="center"/>
        <w:rPr>
          <w:rFonts w:hint="eastAsia" w:ascii="仿宋_GB2312" w:eastAsia="仿宋_GB2312"/>
          <w:sz w:val="32"/>
          <w:szCs w:val="32"/>
        </w:rPr>
      </w:pPr>
    </w:p>
    <w:p>
      <w:pPr>
        <w:snapToGrid w:val="0"/>
        <w:spacing w:line="540" w:lineRule="exact"/>
        <w:ind w:left="159" w:leftChars="76" w:firstLine="480" w:firstLineChars="150"/>
        <w:rPr>
          <w:rFonts w:hint="eastAsia" w:ascii="仿宋_GB2312" w:eastAsia="仿宋_GB2312"/>
          <w:sz w:val="32"/>
          <w:szCs w:val="32"/>
        </w:rPr>
      </w:pPr>
      <w:r>
        <w:rPr>
          <w:rFonts w:hint="eastAsia" w:ascii="仿宋_GB2312" w:eastAsia="仿宋_GB2312"/>
          <w:sz w:val="32"/>
          <w:szCs w:val="32"/>
        </w:rPr>
        <w:t>因工作需要，经嘉兴市人力资源和社会保障局备案，嘉兴市住房和城乡建设局所属事业单位决定面向社会公开招聘工作人员</w:t>
      </w:r>
      <w:r>
        <w:rPr>
          <w:rFonts w:ascii="仿宋_GB2312" w:eastAsia="仿宋_GB2312"/>
          <w:sz w:val="32"/>
          <w:szCs w:val="32"/>
        </w:rPr>
        <w:t>3</w:t>
      </w:r>
      <w:r>
        <w:rPr>
          <w:rFonts w:hint="eastAsia" w:ascii="仿宋_GB2312" w:eastAsia="仿宋_GB2312"/>
          <w:sz w:val="32"/>
          <w:szCs w:val="32"/>
        </w:rPr>
        <w:t>名(事业编制)。现将有关事项公告如下：</w:t>
      </w:r>
    </w:p>
    <w:p>
      <w:pPr>
        <w:snapToGrid w:val="0"/>
        <w:spacing w:line="540" w:lineRule="exact"/>
        <w:ind w:firstLine="640" w:firstLineChars="200"/>
        <w:rPr>
          <w:rFonts w:hint="eastAsia" w:ascii="黑体" w:eastAsia="黑体"/>
          <w:sz w:val="32"/>
          <w:szCs w:val="32"/>
        </w:rPr>
      </w:pPr>
      <w:r>
        <w:rPr>
          <w:rFonts w:hint="eastAsia" w:ascii="黑体" w:eastAsia="黑体"/>
          <w:sz w:val="32"/>
          <w:szCs w:val="32"/>
        </w:rPr>
        <w:t>一、单位简介</w:t>
      </w:r>
    </w:p>
    <w:p>
      <w:pPr>
        <w:adjustRightInd w:val="0"/>
        <w:snapToGrid w:val="0"/>
        <w:spacing w:line="540" w:lineRule="exact"/>
        <w:ind w:firstLine="640"/>
        <w:rPr>
          <w:rFonts w:ascii="仿宋_GB2312" w:eastAsia="仿宋_GB2312"/>
          <w:sz w:val="32"/>
          <w:szCs w:val="32"/>
        </w:rPr>
      </w:pPr>
      <w:r>
        <w:rPr>
          <w:rFonts w:hint="eastAsia" w:ascii="仿宋_GB2312" w:eastAsia="仿宋_GB2312"/>
          <w:sz w:val="32"/>
          <w:szCs w:val="32"/>
        </w:rPr>
        <w:t>嘉兴市建筑业管理服务中心，为公益一类副处级事业单位。主要职责是：贯彻落实国家和省、市有关建筑业、建设工程质量安全的法律、法规、规章和方针政策，承担建筑业改革发展战略、发展规划，以及建筑市场监管、建筑业技术、工程建设标准、建筑工业化、绿色建筑、工程总承包、全过程工程咨询的政策研究工作，并参与组织起草和指导实施。承担建筑市场信用体系建设和管理的技术服务工作。承担建设工程（含消防）质量安全指导与技术服务工作，配合组织实施部分重点建设工程（含消防）质量安全监督工作。承担建设工程消防设计审查、消防验收、备案抽查的技术性工作。承担建筑科技及建设节能、绿色建设推广应用的技术服务工作。承担建设工程招标投标管理的技术服务工作。承担建设工程造价的技术服务工作。参与工程较大质量、安全事故的救援和调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嘉兴市房屋征收管理服务中心，为公益一类副处级事业单位。主要职责是：贯彻落实国家房屋征收补偿的法律法规、政策和规范性文件，参与研究和起草国有土地上房屋征收与补偿法规、配套政策、征收计划，并具体组织实施。承担房屋征收与补偿工作技术指导工作。参与市本级国有土地上未经登记房屋的认定工作。承担市区重点房屋征收项目的组织实施。协助做好涉及房屋征收补偿安置的行政复议、行政诉讼、纠纷调解、信访工作。承担房屋征收数据信息统计工作。</w:t>
      </w:r>
    </w:p>
    <w:p>
      <w:pPr>
        <w:snapToGrid w:val="0"/>
        <w:spacing w:line="540" w:lineRule="exact"/>
        <w:ind w:firstLine="640" w:firstLineChars="200"/>
        <w:rPr>
          <w:rFonts w:hint="eastAsia" w:ascii="黑体" w:eastAsia="黑体"/>
          <w:sz w:val="32"/>
          <w:szCs w:val="32"/>
        </w:rPr>
      </w:pPr>
      <w:r>
        <w:rPr>
          <w:rFonts w:hint="eastAsia" w:ascii="黑体" w:eastAsia="黑体"/>
          <w:sz w:val="32"/>
          <w:szCs w:val="32"/>
        </w:rPr>
        <w:t>二、招聘计划和要求</w:t>
      </w:r>
    </w:p>
    <w:p>
      <w:pPr>
        <w:spacing w:after="156" w:afterLines="50" w:line="540" w:lineRule="exact"/>
        <w:ind w:firstLine="640" w:firstLineChars="200"/>
        <w:rPr>
          <w:rFonts w:hint="eastAsia" w:ascii="仿宋_GB2312" w:eastAsia="仿宋_GB2312"/>
          <w:sz w:val="32"/>
          <w:szCs w:val="32"/>
        </w:rPr>
      </w:pPr>
      <w:r>
        <w:rPr>
          <w:rFonts w:hint="eastAsia" w:ascii="仿宋_GB2312" w:eastAsia="仿宋_GB2312"/>
          <w:sz w:val="32"/>
          <w:szCs w:val="32"/>
        </w:rPr>
        <w:t>本次公开招聘计划推出岗位3个，招聘工作人员3名。</w:t>
      </w:r>
    </w:p>
    <w:tbl>
      <w:tblPr>
        <w:tblStyle w:val="4"/>
        <w:tblW w:w="9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276"/>
        <w:gridCol w:w="992"/>
        <w:gridCol w:w="1591"/>
        <w:gridCol w:w="1200"/>
        <w:gridCol w:w="2028"/>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9" w:hRule="atLeast"/>
          <w:jc w:val="center"/>
        </w:trPr>
        <w:tc>
          <w:tcPr>
            <w:tcW w:w="1243" w:type="dxa"/>
            <w:noWrap w:val="0"/>
            <w:vAlign w:val="center"/>
          </w:tcPr>
          <w:p>
            <w:pPr>
              <w:spacing w:line="400" w:lineRule="exact"/>
              <w:jc w:val="center"/>
              <w:rPr>
                <w:rFonts w:hint="eastAsia" w:ascii="仿宋_GB2312" w:eastAsia="仿宋_GB2312"/>
                <w:b/>
                <w:sz w:val="30"/>
                <w:szCs w:val="30"/>
              </w:rPr>
            </w:pPr>
            <w:r>
              <w:rPr>
                <w:rFonts w:hint="eastAsia" w:ascii="仿宋_GB2312" w:eastAsia="仿宋_GB2312"/>
                <w:b/>
                <w:sz w:val="30"/>
                <w:szCs w:val="30"/>
              </w:rPr>
              <w:t>招聘</w:t>
            </w:r>
          </w:p>
          <w:p>
            <w:pPr>
              <w:spacing w:line="400" w:lineRule="exact"/>
              <w:jc w:val="center"/>
              <w:rPr>
                <w:rFonts w:hint="eastAsia" w:ascii="仿宋_GB2312" w:eastAsia="仿宋_GB2312"/>
                <w:b/>
                <w:sz w:val="30"/>
                <w:szCs w:val="30"/>
              </w:rPr>
            </w:pPr>
            <w:r>
              <w:rPr>
                <w:rFonts w:hint="eastAsia" w:ascii="仿宋_GB2312" w:eastAsia="仿宋_GB2312"/>
                <w:b/>
                <w:sz w:val="30"/>
                <w:szCs w:val="30"/>
              </w:rPr>
              <w:t>单位</w:t>
            </w:r>
          </w:p>
        </w:tc>
        <w:tc>
          <w:tcPr>
            <w:tcW w:w="1276" w:type="dxa"/>
            <w:noWrap w:val="0"/>
            <w:vAlign w:val="center"/>
          </w:tcPr>
          <w:p>
            <w:pPr>
              <w:spacing w:line="400" w:lineRule="exact"/>
              <w:jc w:val="center"/>
              <w:rPr>
                <w:rFonts w:hint="eastAsia" w:ascii="仿宋_GB2312" w:eastAsia="仿宋_GB2312"/>
                <w:b/>
                <w:sz w:val="30"/>
                <w:szCs w:val="30"/>
              </w:rPr>
            </w:pPr>
            <w:r>
              <w:rPr>
                <w:rFonts w:hint="eastAsia" w:ascii="仿宋_GB2312" w:eastAsia="仿宋_GB2312"/>
                <w:b/>
                <w:sz w:val="30"/>
                <w:szCs w:val="30"/>
              </w:rPr>
              <w:t>招聘岗位</w:t>
            </w:r>
          </w:p>
        </w:tc>
        <w:tc>
          <w:tcPr>
            <w:tcW w:w="992" w:type="dxa"/>
            <w:noWrap w:val="0"/>
            <w:vAlign w:val="center"/>
          </w:tcPr>
          <w:p>
            <w:pPr>
              <w:spacing w:line="400" w:lineRule="exact"/>
              <w:jc w:val="center"/>
              <w:rPr>
                <w:rFonts w:hint="eastAsia" w:ascii="仿宋_GB2312" w:eastAsia="仿宋_GB2312"/>
                <w:b/>
                <w:sz w:val="30"/>
                <w:szCs w:val="30"/>
              </w:rPr>
            </w:pPr>
            <w:r>
              <w:rPr>
                <w:rFonts w:hint="eastAsia" w:ascii="仿宋_GB2312" w:eastAsia="仿宋_GB2312"/>
                <w:b/>
                <w:sz w:val="30"/>
                <w:szCs w:val="30"/>
              </w:rPr>
              <w:t>招聘人数</w:t>
            </w:r>
          </w:p>
        </w:tc>
        <w:tc>
          <w:tcPr>
            <w:tcW w:w="1591" w:type="dxa"/>
            <w:noWrap w:val="0"/>
            <w:vAlign w:val="center"/>
          </w:tcPr>
          <w:p>
            <w:pPr>
              <w:spacing w:line="400" w:lineRule="exact"/>
              <w:jc w:val="center"/>
              <w:rPr>
                <w:rFonts w:hint="eastAsia" w:ascii="仿宋_GB2312" w:eastAsia="仿宋_GB2312"/>
                <w:b/>
                <w:sz w:val="30"/>
                <w:szCs w:val="30"/>
              </w:rPr>
            </w:pPr>
            <w:r>
              <w:rPr>
                <w:rFonts w:hint="eastAsia" w:ascii="仿宋_GB2312" w:eastAsia="仿宋_GB2312"/>
                <w:b/>
                <w:sz w:val="30"/>
                <w:szCs w:val="30"/>
              </w:rPr>
              <w:t>所需专业</w:t>
            </w:r>
          </w:p>
        </w:tc>
        <w:tc>
          <w:tcPr>
            <w:tcW w:w="1200" w:type="dxa"/>
            <w:noWrap w:val="0"/>
            <w:vAlign w:val="top"/>
          </w:tcPr>
          <w:p>
            <w:pPr>
              <w:spacing w:line="400" w:lineRule="exact"/>
              <w:jc w:val="center"/>
              <w:rPr>
                <w:rFonts w:ascii="仿宋_GB2312" w:eastAsia="仿宋_GB2312"/>
                <w:b/>
                <w:sz w:val="30"/>
                <w:szCs w:val="30"/>
              </w:rPr>
            </w:pPr>
            <w:r>
              <w:rPr>
                <w:rFonts w:hint="eastAsia" w:ascii="仿宋_GB2312" w:eastAsia="仿宋_GB2312"/>
                <w:b/>
                <w:sz w:val="30"/>
                <w:szCs w:val="30"/>
              </w:rPr>
              <w:t>学历、学位</w:t>
            </w:r>
          </w:p>
          <w:p>
            <w:pPr>
              <w:spacing w:line="400" w:lineRule="exact"/>
              <w:jc w:val="center"/>
              <w:rPr>
                <w:rFonts w:hint="eastAsia" w:ascii="仿宋_GB2312" w:eastAsia="仿宋_GB2312"/>
                <w:b/>
                <w:sz w:val="30"/>
                <w:szCs w:val="30"/>
              </w:rPr>
            </w:pPr>
            <w:r>
              <w:rPr>
                <w:rFonts w:hint="eastAsia" w:ascii="仿宋_GB2312" w:eastAsia="仿宋_GB2312"/>
                <w:b/>
                <w:sz w:val="30"/>
                <w:szCs w:val="30"/>
              </w:rPr>
              <w:t>要求</w:t>
            </w:r>
          </w:p>
        </w:tc>
        <w:tc>
          <w:tcPr>
            <w:tcW w:w="2028" w:type="dxa"/>
            <w:noWrap w:val="0"/>
            <w:vAlign w:val="center"/>
          </w:tcPr>
          <w:p>
            <w:pPr>
              <w:spacing w:line="400" w:lineRule="exact"/>
              <w:jc w:val="center"/>
              <w:rPr>
                <w:rFonts w:hint="eastAsia" w:ascii="仿宋_GB2312" w:eastAsia="仿宋_GB2312"/>
                <w:b/>
                <w:sz w:val="30"/>
                <w:szCs w:val="30"/>
              </w:rPr>
            </w:pPr>
            <w:r>
              <w:rPr>
                <w:rFonts w:hint="eastAsia" w:ascii="仿宋_GB2312" w:eastAsia="仿宋_GB2312"/>
                <w:b/>
                <w:sz w:val="30"/>
                <w:szCs w:val="30"/>
              </w:rPr>
              <w:t>专业技术资格或职业资格</w:t>
            </w:r>
          </w:p>
        </w:tc>
        <w:tc>
          <w:tcPr>
            <w:tcW w:w="1297" w:type="dxa"/>
            <w:noWrap w:val="0"/>
            <w:vAlign w:val="top"/>
          </w:tcPr>
          <w:p>
            <w:pPr>
              <w:spacing w:line="400" w:lineRule="exact"/>
              <w:jc w:val="center"/>
              <w:rPr>
                <w:rFonts w:hint="eastAsia" w:ascii="仿宋_GB2312" w:eastAsia="仿宋_GB2312"/>
                <w:b/>
                <w:sz w:val="30"/>
                <w:szCs w:val="30"/>
              </w:rPr>
            </w:pPr>
          </w:p>
          <w:p>
            <w:pPr>
              <w:spacing w:line="400" w:lineRule="exact"/>
              <w:jc w:val="center"/>
              <w:rPr>
                <w:rFonts w:hint="eastAsia" w:ascii="仿宋_GB2312" w:eastAsia="仿宋_GB2312"/>
                <w:b/>
                <w:sz w:val="30"/>
                <w:szCs w:val="30"/>
              </w:rPr>
            </w:pPr>
            <w:r>
              <w:rPr>
                <w:rFonts w:hint="eastAsia" w:ascii="仿宋_GB2312" w:eastAsia="仿宋_GB2312"/>
                <w:b/>
                <w:sz w:val="30"/>
                <w:szCs w:val="30"/>
              </w:rPr>
              <w:t>其他</w:t>
            </w:r>
            <w:r>
              <w:rPr>
                <w:rFonts w:ascii="仿宋_GB2312" w:eastAsia="仿宋_GB2312"/>
                <w:b/>
                <w:sz w:val="30"/>
                <w:szCs w:val="3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243" w:type="dxa"/>
            <w:noWrap w:val="0"/>
            <w:vAlign w:val="center"/>
          </w:tcPr>
          <w:p>
            <w:pPr>
              <w:snapToGrid w:val="0"/>
              <w:jc w:val="center"/>
              <w:rPr>
                <w:rFonts w:hint="eastAsia" w:ascii="仿宋_GB2312" w:eastAsia="仿宋_GB2312"/>
                <w:sz w:val="24"/>
                <w:szCs w:val="28"/>
              </w:rPr>
            </w:pPr>
            <w:r>
              <w:rPr>
                <w:rFonts w:hint="eastAsia" w:ascii="仿宋_GB2312" w:eastAsia="仿宋_GB2312"/>
                <w:sz w:val="24"/>
                <w:szCs w:val="28"/>
              </w:rPr>
              <w:t>嘉兴市建筑业管理服务中心</w:t>
            </w:r>
          </w:p>
        </w:tc>
        <w:tc>
          <w:tcPr>
            <w:tcW w:w="1276" w:type="dxa"/>
            <w:noWrap w:val="0"/>
            <w:vAlign w:val="center"/>
          </w:tcPr>
          <w:p>
            <w:pPr>
              <w:snapToGrid w:val="0"/>
              <w:jc w:val="center"/>
              <w:rPr>
                <w:rFonts w:hint="eastAsia" w:ascii="仿宋_GB2312" w:eastAsia="仿宋_GB2312"/>
                <w:sz w:val="24"/>
                <w:szCs w:val="28"/>
              </w:rPr>
            </w:pPr>
            <w:r>
              <w:rPr>
                <w:rFonts w:hint="eastAsia" w:ascii="仿宋_GB2312" w:eastAsia="仿宋_GB2312"/>
                <w:sz w:val="24"/>
                <w:szCs w:val="28"/>
              </w:rPr>
              <w:t>综合</w:t>
            </w:r>
            <w:r>
              <w:rPr>
                <w:rFonts w:ascii="仿宋_GB2312" w:eastAsia="仿宋_GB2312"/>
                <w:sz w:val="24"/>
                <w:szCs w:val="28"/>
              </w:rPr>
              <w:t>管理</w:t>
            </w:r>
          </w:p>
        </w:tc>
        <w:tc>
          <w:tcPr>
            <w:tcW w:w="992" w:type="dxa"/>
            <w:noWrap w:val="0"/>
            <w:vAlign w:val="center"/>
          </w:tcPr>
          <w:p>
            <w:pPr>
              <w:snapToGrid w:val="0"/>
              <w:jc w:val="center"/>
              <w:rPr>
                <w:rFonts w:hint="eastAsia" w:ascii="仿宋_GB2312" w:eastAsia="仿宋_GB2312"/>
                <w:sz w:val="24"/>
                <w:szCs w:val="28"/>
              </w:rPr>
            </w:pPr>
            <w:r>
              <w:rPr>
                <w:rFonts w:hint="eastAsia" w:ascii="仿宋_GB2312" w:eastAsia="仿宋_GB2312"/>
                <w:sz w:val="24"/>
                <w:szCs w:val="28"/>
              </w:rPr>
              <w:t>1</w:t>
            </w:r>
          </w:p>
        </w:tc>
        <w:tc>
          <w:tcPr>
            <w:tcW w:w="1591" w:type="dxa"/>
            <w:noWrap w:val="0"/>
            <w:vAlign w:val="center"/>
          </w:tcPr>
          <w:p>
            <w:pPr>
              <w:snapToGrid w:val="0"/>
              <w:jc w:val="center"/>
              <w:rPr>
                <w:rFonts w:hint="eastAsia" w:ascii="仿宋_GB2312" w:eastAsia="仿宋_GB2312"/>
                <w:sz w:val="24"/>
                <w:szCs w:val="28"/>
              </w:rPr>
            </w:pPr>
            <w:r>
              <w:rPr>
                <w:rFonts w:hint="eastAsia" w:ascii="仿宋_GB2312" w:eastAsia="仿宋_GB2312"/>
                <w:sz w:val="24"/>
                <w:szCs w:val="28"/>
              </w:rPr>
              <w:t>新闻学、汉语言文字学、计算机科学与技术</w:t>
            </w:r>
          </w:p>
        </w:tc>
        <w:tc>
          <w:tcPr>
            <w:tcW w:w="1200" w:type="dxa"/>
            <w:noWrap w:val="0"/>
            <w:vAlign w:val="center"/>
          </w:tcPr>
          <w:p>
            <w:pPr>
              <w:snapToGrid w:val="0"/>
              <w:jc w:val="center"/>
              <w:rPr>
                <w:rFonts w:hint="eastAsia" w:ascii="仿宋_GB2312" w:eastAsia="仿宋_GB2312"/>
                <w:sz w:val="24"/>
                <w:szCs w:val="28"/>
              </w:rPr>
            </w:pPr>
            <w:r>
              <w:rPr>
                <w:rFonts w:hint="eastAsia" w:ascii="仿宋_GB2312" w:eastAsia="仿宋_GB2312"/>
                <w:sz w:val="24"/>
                <w:szCs w:val="28"/>
              </w:rPr>
              <w:t>硕士研究生及以上</w:t>
            </w:r>
          </w:p>
        </w:tc>
        <w:tc>
          <w:tcPr>
            <w:tcW w:w="2028" w:type="dxa"/>
            <w:noWrap w:val="0"/>
            <w:vAlign w:val="center"/>
          </w:tcPr>
          <w:p>
            <w:pPr>
              <w:snapToGrid w:val="0"/>
              <w:jc w:val="center"/>
              <w:rPr>
                <w:rFonts w:hint="eastAsia" w:ascii="仿宋_GB2312" w:eastAsia="仿宋_GB2312"/>
                <w:sz w:val="24"/>
                <w:szCs w:val="28"/>
              </w:rPr>
            </w:pPr>
          </w:p>
        </w:tc>
        <w:tc>
          <w:tcPr>
            <w:tcW w:w="1297" w:type="dxa"/>
            <w:noWrap w:val="0"/>
            <w:vAlign w:val="center"/>
          </w:tcPr>
          <w:p>
            <w:pPr>
              <w:snapToGrid w:val="0"/>
              <w:jc w:val="center"/>
              <w:rPr>
                <w:rFonts w:hint="eastAsia" w:ascii="仿宋_GB2312" w:eastAsia="仿宋_GB2312"/>
                <w:sz w:val="24"/>
                <w:szCs w:val="28"/>
              </w:rPr>
            </w:pPr>
            <w:r>
              <w:rPr>
                <w:rFonts w:hint="eastAsia" w:ascii="仿宋_GB2312" w:eastAsia="仿宋_GB2312"/>
                <w:sz w:val="24"/>
                <w:szCs w:val="28"/>
              </w:rPr>
              <w:t>中共党员（含预备党员）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243" w:type="dxa"/>
            <w:vMerge w:val="restart"/>
            <w:noWrap w:val="0"/>
            <w:vAlign w:val="center"/>
          </w:tcPr>
          <w:p>
            <w:pPr>
              <w:snapToGrid w:val="0"/>
              <w:jc w:val="center"/>
              <w:rPr>
                <w:rFonts w:hint="eastAsia" w:ascii="仿宋_GB2312" w:eastAsia="仿宋_GB2312"/>
                <w:sz w:val="24"/>
                <w:szCs w:val="28"/>
              </w:rPr>
            </w:pPr>
            <w:r>
              <w:rPr>
                <w:rFonts w:hint="eastAsia" w:ascii="仿宋_GB2312" w:eastAsia="仿宋_GB2312"/>
                <w:sz w:val="24"/>
                <w:szCs w:val="28"/>
              </w:rPr>
              <w:t>嘉兴市房屋征收管理服务中心</w:t>
            </w:r>
          </w:p>
        </w:tc>
        <w:tc>
          <w:tcPr>
            <w:tcW w:w="1276" w:type="dxa"/>
            <w:noWrap w:val="0"/>
            <w:vAlign w:val="center"/>
          </w:tcPr>
          <w:p>
            <w:pPr>
              <w:snapToGrid w:val="0"/>
              <w:jc w:val="center"/>
              <w:rPr>
                <w:rFonts w:hint="eastAsia" w:ascii="仿宋_GB2312" w:eastAsia="仿宋_GB2312"/>
                <w:sz w:val="24"/>
                <w:szCs w:val="28"/>
              </w:rPr>
            </w:pPr>
            <w:r>
              <w:rPr>
                <w:rFonts w:hint="eastAsia" w:ascii="仿宋_GB2312" w:eastAsia="仿宋_GB2312"/>
                <w:sz w:val="24"/>
                <w:szCs w:val="28"/>
              </w:rPr>
              <w:t>综合管理</w:t>
            </w:r>
          </w:p>
        </w:tc>
        <w:tc>
          <w:tcPr>
            <w:tcW w:w="992" w:type="dxa"/>
            <w:noWrap w:val="0"/>
            <w:vAlign w:val="center"/>
          </w:tcPr>
          <w:p>
            <w:pPr>
              <w:widowControl/>
              <w:jc w:val="center"/>
              <w:textAlignment w:val="center"/>
              <w:rPr>
                <w:rFonts w:hint="eastAsia" w:ascii="宋体" w:hAnsi="宋体"/>
                <w:color w:val="000000"/>
                <w:sz w:val="24"/>
                <w:szCs w:val="18"/>
              </w:rPr>
            </w:pPr>
            <w:r>
              <w:rPr>
                <w:rFonts w:hint="eastAsia" w:ascii="宋体" w:hAnsi="宋体"/>
                <w:color w:val="000000"/>
                <w:sz w:val="24"/>
                <w:szCs w:val="18"/>
              </w:rPr>
              <w:t>1</w:t>
            </w:r>
          </w:p>
        </w:tc>
        <w:tc>
          <w:tcPr>
            <w:tcW w:w="1591" w:type="dxa"/>
            <w:noWrap w:val="0"/>
            <w:vAlign w:val="center"/>
          </w:tcPr>
          <w:p>
            <w:pPr>
              <w:snapToGrid w:val="0"/>
              <w:jc w:val="center"/>
              <w:rPr>
                <w:rFonts w:hint="eastAsia" w:ascii="仿宋_GB2312" w:eastAsia="仿宋_GB2312"/>
                <w:sz w:val="24"/>
                <w:szCs w:val="28"/>
              </w:rPr>
            </w:pPr>
            <w:r>
              <w:rPr>
                <w:rFonts w:hint="eastAsia" w:ascii="仿宋_GB2312" w:eastAsia="仿宋_GB2312"/>
                <w:sz w:val="24"/>
                <w:szCs w:val="28"/>
              </w:rPr>
              <w:t>汉语言文字学、新闻学</w:t>
            </w:r>
          </w:p>
        </w:tc>
        <w:tc>
          <w:tcPr>
            <w:tcW w:w="1200" w:type="dxa"/>
            <w:noWrap w:val="0"/>
            <w:vAlign w:val="center"/>
          </w:tcPr>
          <w:p>
            <w:pPr>
              <w:snapToGrid w:val="0"/>
              <w:jc w:val="center"/>
              <w:rPr>
                <w:rFonts w:hint="eastAsia" w:ascii="仿宋_GB2312" w:eastAsia="仿宋_GB2312"/>
                <w:sz w:val="24"/>
                <w:szCs w:val="28"/>
              </w:rPr>
            </w:pPr>
            <w:r>
              <w:rPr>
                <w:rFonts w:hint="eastAsia" w:ascii="仿宋_GB2312" w:eastAsia="仿宋_GB2312"/>
                <w:sz w:val="24"/>
                <w:szCs w:val="28"/>
              </w:rPr>
              <w:t>硕士研究生及以上</w:t>
            </w:r>
          </w:p>
        </w:tc>
        <w:tc>
          <w:tcPr>
            <w:tcW w:w="2028" w:type="dxa"/>
            <w:noWrap w:val="0"/>
            <w:vAlign w:val="center"/>
          </w:tcPr>
          <w:p>
            <w:pPr>
              <w:snapToGrid w:val="0"/>
              <w:jc w:val="center"/>
              <w:rPr>
                <w:rFonts w:hint="eastAsia" w:ascii="仿宋_GB2312" w:eastAsia="仿宋_GB2312"/>
                <w:sz w:val="24"/>
                <w:szCs w:val="28"/>
              </w:rPr>
            </w:pPr>
          </w:p>
        </w:tc>
        <w:tc>
          <w:tcPr>
            <w:tcW w:w="1297" w:type="dxa"/>
            <w:noWrap w:val="0"/>
            <w:vAlign w:val="center"/>
          </w:tcPr>
          <w:p>
            <w:pPr>
              <w:snapToGrid w:val="0"/>
              <w:jc w:val="center"/>
              <w:rPr>
                <w:rFonts w:hint="eastAsia" w:ascii="仿宋_GB2312" w:eastAsia="仿宋_GB2312"/>
                <w:sz w:val="24"/>
                <w:szCs w:val="28"/>
              </w:rPr>
            </w:pPr>
            <w:r>
              <w:rPr>
                <w:rFonts w:hint="eastAsia" w:ascii="仿宋_GB2312" w:eastAsia="仿宋_GB2312"/>
                <w:sz w:val="24"/>
                <w:szCs w:val="28"/>
              </w:rPr>
              <w:t>中共党员（含预备党员）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243" w:type="dxa"/>
            <w:vMerge w:val="continue"/>
            <w:noWrap w:val="0"/>
            <w:vAlign w:val="center"/>
          </w:tcPr>
          <w:p>
            <w:pPr>
              <w:jc w:val="center"/>
              <w:rPr>
                <w:rFonts w:hint="eastAsia" w:ascii="仿宋_GB2312" w:eastAsia="仿宋_GB2312"/>
                <w:sz w:val="24"/>
                <w:szCs w:val="28"/>
              </w:rPr>
            </w:pPr>
          </w:p>
        </w:tc>
        <w:tc>
          <w:tcPr>
            <w:tcW w:w="1276" w:type="dxa"/>
            <w:noWrap w:val="0"/>
            <w:vAlign w:val="center"/>
          </w:tcPr>
          <w:p>
            <w:pPr>
              <w:snapToGrid w:val="0"/>
              <w:jc w:val="center"/>
              <w:rPr>
                <w:rFonts w:hint="eastAsia" w:ascii="仿宋_GB2312" w:eastAsia="仿宋_GB2312"/>
                <w:sz w:val="24"/>
                <w:szCs w:val="28"/>
              </w:rPr>
            </w:pPr>
            <w:r>
              <w:rPr>
                <w:rFonts w:hint="eastAsia" w:ascii="仿宋_GB2312" w:eastAsia="仿宋_GB2312"/>
                <w:sz w:val="24"/>
                <w:szCs w:val="28"/>
              </w:rPr>
              <w:t>房屋征收管理</w:t>
            </w:r>
          </w:p>
        </w:tc>
        <w:tc>
          <w:tcPr>
            <w:tcW w:w="992" w:type="dxa"/>
            <w:noWrap w:val="0"/>
            <w:vAlign w:val="center"/>
          </w:tcPr>
          <w:p>
            <w:pPr>
              <w:snapToGrid w:val="0"/>
              <w:jc w:val="center"/>
              <w:rPr>
                <w:rFonts w:hint="eastAsia" w:ascii="仿宋_GB2312" w:eastAsia="仿宋_GB2312"/>
                <w:sz w:val="24"/>
                <w:szCs w:val="28"/>
              </w:rPr>
            </w:pPr>
            <w:r>
              <w:rPr>
                <w:rFonts w:hint="eastAsia" w:ascii="仿宋_GB2312" w:eastAsia="仿宋_GB2312"/>
                <w:sz w:val="24"/>
                <w:szCs w:val="28"/>
              </w:rPr>
              <w:t>1</w:t>
            </w:r>
          </w:p>
        </w:tc>
        <w:tc>
          <w:tcPr>
            <w:tcW w:w="1591" w:type="dxa"/>
            <w:noWrap w:val="0"/>
            <w:vAlign w:val="center"/>
          </w:tcPr>
          <w:p>
            <w:pPr>
              <w:snapToGrid w:val="0"/>
              <w:jc w:val="center"/>
              <w:rPr>
                <w:rFonts w:hint="eastAsia" w:ascii="仿宋_GB2312" w:eastAsia="仿宋_GB2312"/>
                <w:sz w:val="24"/>
                <w:szCs w:val="28"/>
              </w:rPr>
            </w:pPr>
            <w:r>
              <w:rPr>
                <w:rFonts w:hint="eastAsia" w:ascii="仿宋_GB2312" w:eastAsia="仿宋_GB2312"/>
                <w:sz w:val="24"/>
                <w:szCs w:val="28"/>
              </w:rPr>
              <w:t>城乡规划学</w:t>
            </w:r>
          </w:p>
        </w:tc>
        <w:tc>
          <w:tcPr>
            <w:tcW w:w="1200" w:type="dxa"/>
            <w:noWrap w:val="0"/>
            <w:vAlign w:val="center"/>
          </w:tcPr>
          <w:p>
            <w:pPr>
              <w:snapToGrid w:val="0"/>
              <w:jc w:val="center"/>
              <w:rPr>
                <w:rFonts w:hint="eastAsia" w:ascii="仿宋_GB2312" w:eastAsia="仿宋_GB2312"/>
                <w:sz w:val="24"/>
                <w:szCs w:val="28"/>
              </w:rPr>
            </w:pPr>
            <w:r>
              <w:rPr>
                <w:rFonts w:hint="eastAsia" w:ascii="仿宋_GB2312" w:eastAsia="仿宋_GB2312"/>
                <w:sz w:val="24"/>
                <w:szCs w:val="28"/>
              </w:rPr>
              <w:t>博士研究生及以上</w:t>
            </w:r>
          </w:p>
        </w:tc>
        <w:tc>
          <w:tcPr>
            <w:tcW w:w="2028" w:type="dxa"/>
            <w:noWrap w:val="0"/>
            <w:vAlign w:val="center"/>
          </w:tcPr>
          <w:p>
            <w:pPr>
              <w:snapToGrid w:val="0"/>
              <w:jc w:val="center"/>
              <w:rPr>
                <w:rFonts w:hint="eastAsia" w:ascii="仿宋_GB2312" w:eastAsia="仿宋_GB2312"/>
                <w:sz w:val="24"/>
                <w:szCs w:val="28"/>
              </w:rPr>
            </w:pPr>
            <w:r>
              <w:rPr>
                <w:rFonts w:hint="eastAsia" w:ascii="仿宋_GB2312" w:eastAsia="仿宋_GB2312"/>
                <w:sz w:val="24"/>
                <w:szCs w:val="28"/>
              </w:rPr>
              <w:t>具有城乡规划高级工程师及以上专业资格</w:t>
            </w:r>
          </w:p>
        </w:tc>
        <w:tc>
          <w:tcPr>
            <w:tcW w:w="1297" w:type="dxa"/>
            <w:noWrap w:val="0"/>
            <w:vAlign w:val="center"/>
          </w:tcPr>
          <w:p>
            <w:pPr>
              <w:snapToGrid w:val="0"/>
              <w:jc w:val="center"/>
              <w:rPr>
                <w:rFonts w:hint="eastAsia" w:ascii="仿宋_GB2312" w:eastAsia="仿宋_GB2312"/>
                <w:sz w:val="24"/>
                <w:szCs w:val="28"/>
              </w:rPr>
            </w:pPr>
          </w:p>
        </w:tc>
      </w:tr>
    </w:tbl>
    <w:p>
      <w:pPr>
        <w:spacing w:line="540" w:lineRule="exact"/>
        <w:ind w:firstLine="640" w:firstLineChars="200"/>
        <w:rPr>
          <w:rFonts w:hint="eastAsia" w:ascii="黑体" w:eastAsia="黑体"/>
          <w:sz w:val="32"/>
          <w:szCs w:val="32"/>
        </w:rPr>
      </w:pPr>
      <w:r>
        <w:rPr>
          <w:rFonts w:hint="eastAsia" w:ascii="黑体" w:eastAsia="黑体"/>
          <w:sz w:val="32"/>
          <w:szCs w:val="32"/>
        </w:rPr>
        <w:t>三、招聘范围和条件</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本次招聘在全国范围内面向社会（在职）人员或2021年普通高校应届毕业生，</w:t>
      </w:r>
      <w:r>
        <w:rPr>
          <w:rFonts w:hint="eastAsia" w:ascii="仿宋_GB2312" w:eastAsia="仿宋_GB2312"/>
          <w:color w:val="000000"/>
          <w:sz w:val="32"/>
          <w:szCs w:val="32"/>
        </w:rPr>
        <w:t>并具备下列条件：</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（一）具有中华人民共和国国籍，有良好的政治思想素质，拥护党的路线、方针、政策。</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（二）具有良好的社会公德和职业道德，遵纪守法，品行端正，热爱本职工作，能吃苦耐劳。</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三）具有相应的专业知识和能力水平，符合招聘岗位所需的专业和学历学位等要求。社会人员报考的，学历、学位证书须于2021年7月31日前取得（留学人员须提供教育部中国留学服务中心出具的境外学历、学位认证书）；2021年普通高校应届毕业生报考的，学历、学位证书须于2021年10月31日前取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（四）具有岗位要求的身体条件；</w:t>
      </w:r>
      <w:r>
        <w:rPr>
          <w:rFonts w:hint="eastAsia" w:ascii="仿宋_GB2312" w:hAnsi="仿宋_GB2312" w:eastAsia="仿宋_GB2312" w:cs="仿宋_GB2312"/>
          <w:sz w:val="32"/>
          <w:szCs w:val="32"/>
        </w:rPr>
        <w:t>年龄要求在35周岁及以下，即1985年7月31日以后出生（博士研究生年龄放宽至40周岁及以下，即1980年7月31日以后出生）。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（五）有以下情形之一的不具备报考资格：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1.曾因犯罪受过刑事处罚的或曾被开除公职的。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2.涉嫌违法违纪正在接受纪检监察机关或者司法机关审查尚未作出结论的；受党纪、政纪处分未满处分期限的。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3.法律、法规规定的其他不得招聘为事业单位工作人员的。</w:t>
      </w:r>
    </w:p>
    <w:p>
      <w:pPr>
        <w:spacing w:line="540" w:lineRule="exact"/>
        <w:ind w:firstLine="640" w:firstLineChars="200"/>
        <w:rPr>
          <w:rFonts w:hint="eastAsia" w:ascii="黑体" w:eastAsia="黑体"/>
          <w:sz w:val="32"/>
          <w:szCs w:val="32"/>
        </w:rPr>
      </w:pPr>
      <w:r>
        <w:rPr>
          <w:rFonts w:hint="eastAsia" w:ascii="黑体" w:eastAsia="黑体"/>
          <w:sz w:val="32"/>
          <w:szCs w:val="32"/>
        </w:rPr>
        <w:t>四、招聘程序和办法</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本次公开招聘工作采取报名（资格审查）、考试（考核）、体检、考察、公示、聘用等程序进行。</w:t>
      </w:r>
    </w:p>
    <w:p>
      <w:pPr>
        <w:spacing w:line="540" w:lineRule="exact"/>
        <w:ind w:firstLine="640" w:firstLineChars="200"/>
        <w:rPr>
          <w:rFonts w:hint="eastAsia" w:ascii="仿宋_GB2312" w:eastAsia="仿宋_GB2312"/>
          <w:sz w:val="32"/>
          <w:szCs w:val="32"/>
        </w:rPr>
      </w:pPr>
      <w:r>
        <w:rPr>
          <w:rFonts w:hint="eastAsia" w:ascii="楷体_GB2312" w:hAnsi="楷体_GB2312" w:eastAsia="楷体_GB2312" w:cs="楷体_GB2312"/>
          <w:sz w:val="32"/>
          <w:szCs w:val="32"/>
        </w:rPr>
        <w:t>（一）报名及资格初审</w:t>
      </w:r>
    </w:p>
    <w:p>
      <w:pPr>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1.报名时间：公告发布之日起至2021年7月31日。</w:t>
      </w:r>
    </w:p>
    <w:p>
      <w:pPr>
        <w:spacing w:line="540" w:lineRule="exact"/>
        <w:ind w:firstLine="640" w:firstLineChars="200"/>
        <w:rPr>
          <w:rFonts w:ascii="仿宋_GB2312" w:eastAsia="仿宋_GB2312" w:cs="仿宋_GB2312"/>
          <w:color w:val="000000"/>
          <w:kern w:val="0"/>
          <w:sz w:val="32"/>
          <w:szCs w:val="32"/>
        </w:rPr>
      </w:pPr>
      <w:r>
        <w:rPr>
          <w:rFonts w:hint="eastAsia" w:ascii="仿宋_GB2312" w:eastAsia="仿宋_GB2312"/>
          <w:sz w:val="32"/>
          <w:szCs w:val="32"/>
        </w:rPr>
        <w:t>报名人员可于规定时间将报名登记表及相关材料扫描件电子稿发送至报名邮箱：</w:t>
      </w:r>
      <w:r>
        <w:rPr>
          <w:rFonts w:ascii="仿宋_GB2312" w:eastAsia="仿宋_GB2312"/>
          <w:sz w:val="32"/>
          <w:szCs w:val="32"/>
        </w:rPr>
        <w:t>jxjsjrjc@163.com</w:t>
      </w:r>
      <w:r>
        <w:rPr>
          <w:rFonts w:hint="eastAsia" w:ascii="仿宋_GB2312" w:eastAsia="仿宋_GB2312"/>
          <w:sz w:val="32"/>
          <w:szCs w:val="32"/>
        </w:rPr>
        <w:t>，</w:t>
      </w:r>
      <w:r>
        <w:rPr>
          <w:rFonts w:hint="eastAsia" w:ascii="仿宋_GB2312" w:eastAsia="仿宋_GB2312"/>
          <w:color w:val="000000"/>
          <w:sz w:val="32"/>
          <w:szCs w:val="32"/>
        </w:rPr>
        <w:t>文件名为“应聘岗位+专业+姓名”。</w:t>
      </w:r>
      <w:r>
        <w:rPr>
          <w:rFonts w:hint="eastAsia" w:ascii="仿宋_GB2312" w:eastAsia="仿宋_GB2312"/>
          <w:sz w:val="32"/>
          <w:szCs w:val="32"/>
        </w:rPr>
        <w:t>相关报名材料可在考试前提供原件及复印件各一套，所提供材料不全或材料审核不符合报名条件的不得参加考试。</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2.报名材料</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（1）报名登记表一式二份（黏贴一寸正面免冠证件照）；</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学历、学位证书的原件及复印件（2021年全日制普通高校应届毕业生未取得学历、学位证书可提供学校核发的就业推荐表和就业协议书，留学人员报考须取得教育部中国留学服务中心出具的境外学历、学位认证书）；</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（3）本人身份证原件及复印件；</w:t>
      </w:r>
    </w:p>
    <w:p>
      <w:pPr>
        <w:spacing w:line="540" w:lineRule="exact"/>
        <w:ind w:firstLine="640" w:firstLineChars="200"/>
        <w:rPr>
          <w:rFonts w:hint="eastAsia" w:ascii="仿宋_GB2312" w:eastAsia="仿宋_GB2312"/>
          <w:sz w:val="32"/>
          <w:szCs w:val="32"/>
        </w:rPr>
      </w:pPr>
      <w:r>
        <w:rPr>
          <w:rFonts w:hint="eastAsia" w:ascii="仿宋_GB2312" w:eastAsia="仿宋_GB2312"/>
          <w:color w:val="000000"/>
          <w:sz w:val="32"/>
          <w:szCs w:val="32"/>
        </w:rPr>
        <w:t>（4）专业技术资格证书原件及复印件（根据岗位要求提供）。</w:t>
      </w:r>
    </w:p>
    <w:p>
      <w:pPr>
        <w:spacing w:line="54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sz w:val="32"/>
          <w:szCs w:val="32"/>
        </w:rPr>
        <w:t>3.资格初审。报名结束后</w:t>
      </w:r>
      <w:r>
        <w:rPr>
          <w:rFonts w:hint="eastAsia" w:ascii="仿宋_GB2312" w:eastAsia="仿宋_GB2312"/>
          <w:color w:val="000000"/>
          <w:sz w:val="32"/>
          <w:szCs w:val="32"/>
        </w:rPr>
        <w:t>10日</w:t>
      </w:r>
      <w:r>
        <w:rPr>
          <w:rFonts w:hint="eastAsia" w:ascii="仿宋_GB2312" w:eastAsia="仿宋_GB2312"/>
          <w:sz w:val="32"/>
          <w:szCs w:val="32"/>
        </w:rPr>
        <w:t>内，招聘单位根据招聘岗位所需条件对报名人员进行资格初审，并将初审结果通知本人。</w:t>
      </w:r>
      <w:r>
        <w:rPr>
          <w:rFonts w:hint="eastAsia" w:ascii="仿宋_GB2312" w:hAnsi="仿宋_GB2312" w:eastAsia="仿宋_GB2312" w:cs="仿宋_GB2312"/>
          <w:sz w:val="32"/>
          <w:szCs w:val="32"/>
        </w:rPr>
        <w:t>招聘岗位所需专业（学科）要求参考教</w:t>
      </w:r>
      <w:r>
        <w:rPr>
          <w:rFonts w:hint="eastAsia" w:ascii="仿宋_GB2312" w:eastAsia="仿宋_GB2312"/>
          <w:color w:val="000000"/>
          <w:sz w:val="32"/>
          <w:szCs w:val="32"/>
          <w:shd w:val="clear" w:color="auto" w:fill="FFFFFF"/>
        </w:rPr>
        <w:t>育行政部门专业目录设置（审查），对应聘人员所学专业名称与专业要求不一致的，由招聘单位根据所学专业方向审核确定。</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应聘人员不得报考与招聘单位有《浙江省事业单位公开招聘人员暂行办法》第三十条所列回避情形的岗位。报名人员应对本人提交的信息和材料的真实性负责，凡提供虚假信息而通过资格条件审查的，一经查实，取消其聘用资格。</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（二）考试</w:t>
      </w:r>
    </w:p>
    <w:p>
      <w:pPr>
        <w:spacing w:line="540" w:lineRule="exact"/>
        <w:ind w:firstLine="640" w:firstLineChars="200"/>
        <w:rPr>
          <w:rFonts w:hint="eastAsia" w:ascii="仿宋_GB2312" w:eastAsia="仿宋_GB2312"/>
          <w:sz w:val="32"/>
          <w:szCs w:val="32"/>
        </w:rPr>
      </w:pPr>
      <w:r>
        <w:rPr>
          <w:rFonts w:hint="eastAsia" w:ascii="仿宋_GB2312" w:eastAsia="仿宋_GB2312"/>
          <w:color w:val="000000"/>
          <w:sz w:val="32"/>
          <w:szCs w:val="32"/>
        </w:rPr>
        <w:t>本次公开招聘考试（考核）由</w:t>
      </w:r>
      <w:r>
        <w:rPr>
          <w:rFonts w:hint="eastAsia" w:ascii="仿宋_GB2312" w:eastAsia="仿宋_GB2312"/>
          <w:sz w:val="32"/>
          <w:szCs w:val="32"/>
        </w:rPr>
        <w:t>嘉兴市</w:t>
      </w:r>
      <w:r>
        <w:rPr>
          <w:rFonts w:hint="eastAsia" w:ascii="仿宋_GB2312" w:hAnsi="仿宋_GB2312" w:eastAsia="仿宋_GB2312" w:cs="仿宋_GB2312"/>
          <w:sz w:val="32"/>
          <w:szCs w:val="32"/>
        </w:rPr>
        <w:t>住房</w:t>
      </w:r>
      <w:r>
        <w:rPr>
          <w:rFonts w:ascii="仿宋_GB2312" w:hAnsi="仿宋_GB2312" w:eastAsia="仿宋_GB2312" w:cs="仿宋_GB2312"/>
          <w:sz w:val="32"/>
          <w:szCs w:val="32"/>
        </w:rPr>
        <w:t>和城乡建设</w:t>
      </w:r>
      <w:r>
        <w:rPr>
          <w:rFonts w:hint="eastAsia" w:ascii="仿宋_GB2312" w:hAnsi="仿宋_GB2312" w:eastAsia="仿宋_GB2312" w:cs="仿宋_GB2312"/>
          <w:sz w:val="32"/>
          <w:szCs w:val="32"/>
        </w:rPr>
        <w:t>局</w:t>
      </w:r>
      <w:r>
        <w:rPr>
          <w:rFonts w:hint="eastAsia" w:ascii="仿宋_GB2312" w:eastAsia="仿宋_GB2312"/>
          <w:color w:val="000000"/>
          <w:sz w:val="32"/>
          <w:szCs w:val="32"/>
        </w:rPr>
        <w:t>组织实施，</w:t>
      </w:r>
      <w:r>
        <w:rPr>
          <w:rFonts w:hint="eastAsia" w:ascii="仿宋_GB2312" w:eastAsia="仿宋_GB2312"/>
          <w:sz w:val="32"/>
          <w:szCs w:val="32"/>
        </w:rPr>
        <w:t>采取笔试</w:t>
      </w:r>
      <w:r>
        <w:rPr>
          <w:rFonts w:ascii="仿宋_GB2312" w:eastAsia="仿宋_GB2312"/>
          <w:sz w:val="32"/>
          <w:szCs w:val="32"/>
        </w:rPr>
        <w:t>、</w:t>
      </w:r>
      <w:r>
        <w:rPr>
          <w:rFonts w:hint="eastAsia" w:ascii="仿宋_GB2312" w:eastAsia="仿宋_GB2312"/>
          <w:sz w:val="32"/>
          <w:szCs w:val="32"/>
        </w:rPr>
        <w:t>面试</w:t>
      </w:r>
      <w:r>
        <w:rPr>
          <w:rFonts w:hint="eastAsia" w:ascii="仿宋_GB2312" w:eastAsia="仿宋_GB2312"/>
          <w:sz w:val="32"/>
          <w:szCs w:val="32"/>
          <w:lang w:eastAsia="zh-CN"/>
        </w:rPr>
        <w:t>（考核）</w:t>
      </w:r>
      <w:r>
        <w:rPr>
          <w:rFonts w:hint="eastAsia" w:ascii="仿宋_GB2312" w:eastAsia="仿宋_GB2312"/>
          <w:sz w:val="32"/>
          <w:szCs w:val="32"/>
        </w:rPr>
        <w:t>相结合的方式进行。考试地点设在嘉兴市内。具体时间、地点另行通知。应聘人员不按规定的时间和地点参加考试（考核）的，视作放弃。</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1.房屋征收管理岗位。</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由嘉兴市住房和城乡建设局组成考核组，对符合条件的应聘人员专业水平、工作业绩、学术成果等进行综合评价，确定入围体检人员名单。</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2.综合岗位。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若同一岗位符合条件的报名人数（确认参加考试人数）不超过10人（含10人）的，则直接进入面试环节。总成绩＝面试成绩。</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若同一岗位符合条件的报名人数（确认参加考试人数）超过10人的，则需进行笔试、面试。总成绩＝笔试成绩×40%+面试成绩×60%。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考试前，将对符合条件的考生进行资格条件复审，未通过资格复审的，不得参加考试。</w:t>
      </w:r>
    </w:p>
    <w:p>
      <w:pPr>
        <w:spacing w:line="540" w:lineRule="exact"/>
        <w:ind w:firstLine="640" w:firstLineChars="200"/>
        <w:rPr>
          <w:rFonts w:ascii="仿宋_GB2312" w:eastAsia="仿宋_GB2312"/>
          <w:sz w:val="32"/>
          <w:szCs w:val="32"/>
        </w:rPr>
      </w:pPr>
      <w:r>
        <w:rPr>
          <w:rFonts w:hint="eastAsia" w:ascii="汉仪书宋二S" w:hAnsi="汉仪书宋二S" w:eastAsia="汉仪书宋二S" w:cs="汉仪书宋二S"/>
          <w:sz w:val="32"/>
          <w:szCs w:val="32"/>
        </w:rPr>
        <w:t>①</w:t>
      </w:r>
      <w:r>
        <w:rPr>
          <w:rFonts w:hint="eastAsia" w:ascii="仿宋_GB2312" w:eastAsia="仿宋_GB2312"/>
          <w:sz w:val="32"/>
          <w:szCs w:val="32"/>
        </w:rPr>
        <w:t>笔试。</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笔试内容为综合基础知识，满分为100分。本次笔试不提供相关参考用书。笔试对象不按规定的时间和地点参加笔试的，视作放弃笔试。笔试结束后，各单位根据招聘岗位笔试成绩从高分到低分按1：5比例</w:t>
      </w:r>
      <w:r>
        <w:rPr>
          <w:rFonts w:hint="eastAsia" w:ascii="仿宋_GB2312" w:eastAsia="仿宋_GB2312"/>
          <w:color w:val="000000"/>
          <w:sz w:val="32"/>
          <w:szCs w:val="32"/>
        </w:rPr>
        <w:t>确</w:t>
      </w:r>
      <w:r>
        <w:rPr>
          <w:rFonts w:hint="eastAsia" w:ascii="仿宋_GB2312" w:eastAsia="仿宋_GB2312"/>
          <w:sz w:val="32"/>
          <w:szCs w:val="32"/>
        </w:rPr>
        <w:t>定面试对象（不足比例的按实际人数确定）。</w:t>
      </w:r>
    </w:p>
    <w:p>
      <w:pPr>
        <w:spacing w:line="540" w:lineRule="exact"/>
        <w:ind w:firstLine="640" w:firstLineChars="200"/>
        <w:rPr>
          <w:rFonts w:ascii="仿宋_GB2312" w:eastAsia="仿宋_GB2312"/>
          <w:sz w:val="32"/>
          <w:szCs w:val="32"/>
        </w:rPr>
      </w:pPr>
      <w:r>
        <w:rPr>
          <w:rFonts w:hint="eastAsia" w:ascii="东文宋体" w:hAnsi="东文宋体" w:eastAsia="东文宋体" w:cs="东文宋体"/>
          <w:sz w:val="32"/>
          <w:szCs w:val="32"/>
        </w:rPr>
        <w:t>②</w:t>
      </w:r>
      <w:r>
        <w:rPr>
          <w:rFonts w:hint="eastAsia" w:ascii="仿宋_GB2312" w:eastAsia="仿宋_GB2312"/>
          <w:sz w:val="32"/>
          <w:szCs w:val="32"/>
        </w:rPr>
        <w:t>面试。</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面试采取</w:t>
      </w:r>
      <w:r>
        <w:rPr>
          <w:rFonts w:ascii="仿宋_GB2312" w:eastAsia="仿宋_GB2312"/>
          <w:sz w:val="32"/>
          <w:szCs w:val="32"/>
        </w:rPr>
        <w:t>结构化面试方式进行</w:t>
      </w:r>
      <w:r>
        <w:rPr>
          <w:rFonts w:hint="eastAsia" w:ascii="仿宋_GB2312" w:eastAsia="仿宋_GB2312"/>
          <w:sz w:val="32"/>
          <w:szCs w:val="32"/>
        </w:rPr>
        <w:t>。面试成绩满分为100分，合格分为60分，面试不合格的不列入体检、考察对象。面试对象不按规定的时间和地点参加面试的，视作放弃面试。</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（三）体检</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根据考试成绩，从高分到低分按照招聘计划的1:1比例确定体检对象。体检参照《公务员录用体检通用标准(试行)》执行，体检合格者确定为考察对象。应聘人员不按规定的时间、地点参加体检，视作放弃体检资格。</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（四）考察</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考察工作参照公务员考录考察工作的办法进行。主要对体检合格的人员进行资格条件的复核和德、能、勤、绩、廉以及需要回避的情况等考察，考察不合格不予聘用。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应聘人员在体检、考察环节出现不合格的或自愿放弃的，按招聘岗位考试成绩从高分到低分依次递补，面试不合格的人员不安排递补。</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（五）公示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经体检、考察均合格的人员，确定为拟聘用人员，拟聘用人员名单在</w:t>
      </w:r>
      <w:r>
        <w:rPr>
          <w:rFonts w:ascii="仿宋_GB2312" w:eastAsia="仿宋_GB2312"/>
          <w:sz w:val="32"/>
          <w:szCs w:val="32"/>
        </w:rPr>
        <w:t>嘉兴市住房和城乡建设局</w:t>
      </w:r>
      <w:r>
        <w:rPr>
          <w:rFonts w:hint="eastAsia" w:ascii="仿宋_GB2312" w:eastAsia="仿宋_GB2312"/>
          <w:sz w:val="32"/>
          <w:szCs w:val="32"/>
        </w:rPr>
        <w:t>网站上公示7个工作日。公示期满，对拟聘用人员没有异议或反映有问题经查实不影响聘用的，招聘单位按规定办理聘用手续。</w:t>
      </w:r>
    </w:p>
    <w:p>
      <w:pPr>
        <w:spacing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（六）聘用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拟聘用人员无正当理由未在规定时间内报到的，取消聘用资格 。2021年普通高校应届毕业生（须于2021年10月31日前取得学历、学位证书）按毕业生报到程序办理，不能按时毕业或未取得招聘岗位规定的学历、学位证书的，取消聘用资格。</w:t>
      </w:r>
      <w:r>
        <w:rPr>
          <w:rFonts w:hint="eastAsia" w:ascii="仿宋_GB2312" w:hAnsi="仿宋_GB2312" w:eastAsia="仿宋_GB2312" w:cs="仿宋_GB2312"/>
          <w:color w:val="000000"/>
          <w:sz w:val="32"/>
          <w:szCs w:val="32"/>
        </w:rPr>
        <w:t>社会人员办理报到前须与原单位解除劳动（聘用）合同。</w:t>
      </w:r>
    </w:p>
    <w:p>
      <w:pPr>
        <w:spacing w:line="540" w:lineRule="exact"/>
        <w:ind w:firstLine="640" w:firstLineChars="200"/>
        <w:rPr>
          <w:rFonts w:ascii="仿宋_GB2312" w:hAnsi="宋体" w:eastAsia="仿宋_GB2312"/>
          <w:sz w:val="32"/>
          <w:szCs w:val="32"/>
          <w:shd w:val="clear" w:color="auto" w:fill="FFFFFF"/>
        </w:rPr>
      </w:pPr>
      <w:r>
        <w:rPr>
          <w:rFonts w:hint="eastAsia" w:ascii="仿宋_GB2312" w:eastAsia="仿宋_GB2312"/>
          <w:sz w:val="32"/>
          <w:szCs w:val="32"/>
        </w:rPr>
        <w:t>聘用人员列入事业编制管理，与招聘单位签订事业单位聘用合同，并按规定约定试用期。试用期满后，考核合格者，予以正式聘用；不合格的，取消聘用。</w:t>
      </w:r>
      <w:r>
        <w:rPr>
          <w:rFonts w:hint="eastAsia" w:ascii="仿宋_GB2312" w:hAnsi="宋体" w:eastAsia="仿宋_GB2312"/>
          <w:sz w:val="32"/>
          <w:szCs w:val="32"/>
          <w:shd w:val="clear" w:color="auto" w:fill="FFFFFF"/>
        </w:rPr>
        <w:t>聘用人员享受国家规定的事业单位工资待遇和各种规定保险。</w:t>
      </w:r>
    </w:p>
    <w:p>
      <w:pPr>
        <w:spacing w:line="540" w:lineRule="exact"/>
        <w:ind w:firstLine="640" w:firstLineChars="200"/>
        <w:rPr>
          <w:rFonts w:ascii="黑体" w:eastAsia="黑体"/>
          <w:sz w:val="32"/>
          <w:szCs w:val="32"/>
        </w:rPr>
      </w:pPr>
      <w:r>
        <w:rPr>
          <w:rFonts w:hint="eastAsia" w:ascii="黑体" w:eastAsia="黑体"/>
          <w:sz w:val="32"/>
          <w:szCs w:val="32"/>
        </w:rPr>
        <w:t>五</w:t>
      </w:r>
      <w:r>
        <w:rPr>
          <w:rFonts w:ascii="黑体" w:eastAsia="黑体"/>
          <w:sz w:val="32"/>
          <w:szCs w:val="32"/>
        </w:rPr>
        <w:t>、</w:t>
      </w:r>
      <w:r>
        <w:rPr>
          <w:rFonts w:hint="eastAsia" w:ascii="黑体" w:eastAsia="黑体"/>
          <w:sz w:val="32"/>
          <w:szCs w:val="32"/>
        </w:rPr>
        <w:t>疫情</w:t>
      </w:r>
      <w:r>
        <w:rPr>
          <w:rFonts w:ascii="黑体" w:eastAsia="黑体"/>
          <w:sz w:val="32"/>
          <w:szCs w:val="32"/>
        </w:rPr>
        <w:t>防控要求</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根据新冠肺炎疫情防控工作有关要求，参加本次公开招聘的考生应在考试前14天申领嘉兴“健康码”或浙江“健康码”</w:t>
      </w:r>
      <w:r>
        <w:rPr>
          <w:rFonts w:hint="eastAsia" w:ascii="仿宋_GB2312" w:hAnsi="仿宋_GB2312" w:eastAsia="仿宋_GB2312" w:cs="仿宋_GB2312"/>
          <w:color w:val="000000"/>
          <w:sz w:val="32"/>
          <w:szCs w:val="32"/>
        </w:rPr>
        <w:t>（可通过“浙里办”APP或支付宝办理）</w:t>
      </w:r>
      <w:r>
        <w:rPr>
          <w:rFonts w:hint="eastAsia" w:ascii="仿宋_GB2312" w:hAnsi="仿宋_GB2312" w:eastAsia="仿宋_GB2312" w:cs="仿宋_GB2312"/>
          <w:sz w:val="32"/>
          <w:szCs w:val="32"/>
        </w:rPr>
        <w:t>、申报国内疫情中、高风险地区或境外旅居史，并如实填写《考生健康申报表》履行个人健康证明义务及防疫相关要求事项。凡隐瞒或谎报旅居史、接触史、健康状况等疫情防控重点信息的，不配合工作人员进行健康检疫、询问、查询、送诊等造成严重后果的，取消其相应资格，如有违法行为将依法追究法律责任。</w:t>
      </w:r>
    </w:p>
    <w:p>
      <w:pPr>
        <w:spacing w:line="540" w:lineRule="exact"/>
        <w:ind w:firstLine="640" w:firstLineChars="200"/>
        <w:rPr>
          <w:rFonts w:hint="eastAsia" w:ascii="黑体" w:eastAsia="黑体"/>
          <w:sz w:val="32"/>
          <w:szCs w:val="32"/>
        </w:rPr>
      </w:pPr>
      <w:r>
        <w:rPr>
          <w:rFonts w:hint="eastAsia" w:ascii="黑体" w:eastAsia="黑体"/>
          <w:sz w:val="32"/>
          <w:szCs w:val="32"/>
        </w:rPr>
        <w:t>六、监督和联系</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sz w:val="32"/>
          <w:szCs w:val="32"/>
        </w:rPr>
        <w:t>（一）本次公开招聘工作由嘉兴市住房</w:t>
      </w:r>
      <w:r>
        <w:rPr>
          <w:rFonts w:ascii="仿宋_GB2312" w:eastAsia="仿宋_GB2312"/>
          <w:sz w:val="32"/>
          <w:szCs w:val="32"/>
        </w:rPr>
        <w:t>和城乡</w:t>
      </w:r>
      <w:r>
        <w:rPr>
          <w:rFonts w:hint="eastAsia" w:ascii="仿宋_GB2312" w:eastAsia="仿宋_GB2312"/>
          <w:sz w:val="32"/>
          <w:szCs w:val="32"/>
        </w:rPr>
        <w:t>建设局按有关规定组织实施，嘉兴市纪委市监委驻嘉兴市住房</w:t>
      </w:r>
      <w:r>
        <w:rPr>
          <w:rFonts w:ascii="仿宋_GB2312" w:eastAsia="仿宋_GB2312"/>
          <w:sz w:val="32"/>
          <w:szCs w:val="32"/>
        </w:rPr>
        <w:t>和</w:t>
      </w:r>
      <w:r>
        <w:rPr>
          <w:rFonts w:hint="eastAsia" w:ascii="仿宋_GB2312" w:eastAsia="仿宋_GB2312"/>
          <w:sz w:val="32"/>
          <w:szCs w:val="32"/>
        </w:rPr>
        <w:t>城乡建设局纪检监察组全程监督，嘉兴市人力资源和社会保障局业务指导和程序监督。</w:t>
      </w:r>
      <w:r>
        <w:rPr>
          <w:rFonts w:hint="eastAsia" w:ascii="仿宋_GB2312" w:eastAsia="仿宋_GB2312"/>
          <w:color w:val="000000"/>
          <w:sz w:val="32"/>
          <w:szCs w:val="32"/>
          <w:shd w:val="clear" w:color="auto" w:fill="FFFFFF"/>
        </w:rPr>
        <w:t>招聘程序参照《嘉兴市人力资源和社会保障局关于事业单位公开招聘高层次、紧缺人才的实施意见》有关规定执行。</w:t>
      </w:r>
      <w:r>
        <w:rPr>
          <w:rFonts w:hint="eastAsia" w:ascii="仿宋_GB2312" w:eastAsia="仿宋_GB2312"/>
          <w:color w:val="000000"/>
          <w:sz w:val="32"/>
          <w:szCs w:val="32"/>
        </w:rPr>
        <w:t>对考试违纪违规行为的认定和处理，按照《事业单位公开招聘违纪违规行为处理规定》（人社部令第35号）执行。</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（二）本公告未尽事宜，由嘉兴市住房和</w:t>
      </w:r>
      <w:r>
        <w:rPr>
          <w:rFonts w:ascii="仿宋_GB2312" w:eastAsia="仿宋_GB2312"/>
          <w:sz w:val="32"/>
          <w:szCs w:val="32"/>
        </w:rPr>
        <w:t>城乡建设</w:t>
      </w:r>
      <w:r>
        <w:rPr>
          <w:rFonts w:hint="eastAsia" w:ascii="仿宋_GB2312" w:eastAsia="仿宋_GB2312"/>
          <w:sz w:val="32"/>
          <w:szCs w:val="32"/>
        </w:rPr>
        <w:t>局按有关文件规定执行。本次公开招聘相关事宜将发布于嘉兴</w:t>
      </w:r>
      <w:r>
        <w:rPr>
          <w:rFonts w:hint="eastAsia" w:ascii="仿宋_GB2312" w:hAnsi="仿宋_GB2312" w:eastAsia="仿宋_GB2312" w:cs="仿宋_GB2312"/>
          <w:sz w:val="32"/>
          <w:szCs w:val="32"/>
        </w:rPr>
        <w:t>市住房和</w:t>
      </w:r>
      <w:r>
        <w:rPr>
          <w:rFonts w:ascii="仿宋_GB2312" w:hAnsi="仿宋_GB2312" w:eastAsia="仿宋_GB2312" w:cs="仿宋_GB2312"/>
          <w:sz w:val="32"/>
          <w:szCs w:val="32"/>
        </w:rPr>
        <w:t>城乡建设局</w:t>
      </w:r>
      <w:r>
        <w:rPr>
          <w:rFonts w:hint="eastAsia" w:ascii="仿宋_GB2312" w:eastAsia="仿宋_GB2312"/>
          <w:sz w:val="32"/>
          <w:szCs w:val="32"/>
        </w:rPr>
        <w:t>网站（</w:t>
      </w:r>
      <w:r>
        <w:rPr>
          <w:rFonts w:ascii="仿宋_GB2312" w:eastAsia="仿宋_GB2312"/>
          <w:sz w:val="32"/>
          <w:szCs w:val="32"/>
        </w:rPr>
        <w:t>http://jsj.jiaxing.gov.cn/</w:t>
      </w:r>
      <w:r>
        <w:rPr>
          <w:rFonts w:hint="eastAsia" w:ascii="仿宋_GB2312" w:eastAsia="仿宋_GB2312"/>
          <w:sz w:val="32"/>
          <w:szCs w:val="32"/>
        </w:rPr>
        <w:t>），</w:t>
      </w:r>
      <w:r>
        <w:rPr>
          <w:rFonts w:hint="eastAsia" w:ascii="仿宋_GB2312" w:hAnsi="宋体" w:eastAsia="仿宋_GB2312" w:cs="仿宋_GB2312"/>
          <w:color w:val="000000"/>
          <w:kern w:val="0"/>
          <w:sz w:val="32"/>
          <w:szCs w:val="32"/>
        </w:rPr>
        <w:t>供应聘者查询和社会监督。</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联系电话：0573-</w:t>
      </w:r>
      <w:r>
        <w:rPr>
          <w:rFonts w:ascii="仿宋_GB2312" w:eastAsia="仿宋_GB2312"/>
          <w:sz w:val="32"/>
          <w:szCs w:val="32"/>
        </w:rPr>
        <w:t>82872018</w:t>
      </w:r>
      <w:r>
        <w:rPr>
          <w:rFonts w:hint="eastAsia" w:ascii="仿宋_GB2312" w:eastAsia="仿宋_GB2312"/>
          <w:sz w:val="32"/>
          <w:szCs w:val="32"/>
        </w:rPr>
        <w:t xml:space="preserve"> 联系人：张女士 </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监督电话：0573-8</w:t>
      </w:r>
      <w:r>
        <w:rPr>
          <w:rFonts w:ascii="仿宋_GB2312" w:eastAsia="仿宋_GB2312"/>
          <w:sz w:val="32"/>
          <w:szCs w:val="32"/>
        </w:rPr>
        <w:t>3599556</w:t>
      </w:r>
      <w:r>
        <w:rPr>
          <w:rFonts w:hint="eastAsia" w:ascii="仿宋_GB2312" w:eastAsia="仿宋_GB2312"/>
          <w:sz w:val="32"/>
          <w:szCs w:val="32"/>
        </w:rPr>
        <w:t xml:space="preserve">    82228947</w:t>
      </w:r>
    </w:p>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附件：1、</w:t>
      </w:r>
      <w:r>
        <w:rPr>
          <w:rFonts w:ascii="仿宋_GB2312" w:eastAsia="仿宋_GB2312"/>
          <w:sz w:val="32"/>
          <w:szCs w:val="32"/>
        </w:rPr>
        <w:t>2021</w:t>
      </w:r>
      <w:r>
        <w:rPr>
          <w:rFonts w:hint="eastAsia" w:ascii="仿宋_GB2312" w:eastAsia="仿宋_GB2312"/>
          <w:sz w:val="32"/>
          <w:szCs w:val="32"/>
        </w:rPr>
        <w:t>年嘉兴市住房和城乡</w:t>
      </w:r>
      <w:r>
        <w:rPr>
          <w:rFonts w:ascii="仿宋_GB2312" w:eastAsia="仿宋_GB2312"/>
          <w:sz w:val="32"/>
          <w:szCs w:val="32"/>
        </w:rPr>
        <w:t>建设</w:t>
      </w:r>
      <w:r>
        <w:rPr>
          <w:rFonts w:hint="eastAsia" w:ascii="仿宋_GB2312" w:eastAsia="仿宋_GB2312"/>
          <w:sz w:val="32"/>
          <w:szCs w:val="32"/>
        </w:rPr>
        <w:t>局公开招聘高层次紧缺人才报名登记表</w:t>
      </w:r>
    </w:p>
    <w:p>
      <w:pPr>
        <w:spacing w:line="540" w:lineRule="exact"/>
        <w:ind w:firstLine="640" w:firstLineChars="200"/>
        <w:rPr>
          <w:rFonts w:hint="eastAsia" w:ascii="仿宋_GB2312" w:eastAsia="仿宋_GB2312"/>
          <w:sz w:val="32"/>
          <w:szCs w:val="32"/>
        </w:rPr>
      </w:pPr>
      <w:r>
        <w:rPr>
          <w:rFonts w:ascii="仿宋_GB2312" w:eastAsia="仿宋_GB2312"/>
          <w:sz w:val="32"/>
          <w:szCs w:val="32"/>
        </w:rPr>
        <w:t xml:space="preserve">      2</w:t>
      </w:r>
      <w:r>
        <w:rPr>
          <w:rFonts w:hint="eastAsia" w:ascii="仿宋_GB2312" w:eastAsia="仿宋_GB2312"/>
          <w:sz w:val="32"/>
          <w:szCs w:val="32"/>
        </w:rPr>
        <w:t>、个人</w:t>
      </w:r>
      <w:r>
        <w:rPr>
          <w:rFonts w:ascii="仿宋_GB2312" w:eastAsia="仿宋_GB2312"/>
          <w:sz w:val="32"/>
          <w:szCs w:val="32"/>
        </w:rPr>
        <w:t>健康承诺书</w:t>
      </w:r>
      <w:r>
        <w:rPr>
          <w:rFonts w:hint="eastAsia" w:ascii="仿宋_GB2312" w:eastAsia="仿宋_GB2312"/>
          <w:sz w:val="32"/>
          <w:szCs w:val="32"/>
        </w:rPr>
        <w:t xml:space="preserve">   </w:t>
      </w:r>
    </w:p>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嘉兴市住房和</w:t>
      </w:r>
      <w:r>
        <w:rPr>
          <w:rFonts w:ascii="仿宋_GB2312" w:eastAsia="仿宋_GB2312"/>
          <w:sz w:val="32"/>
          <w:szCs w:val="32"/>
        </w:rPr>
        <w:t>城乡建设</w:t>
      </w:r>
      <w:r>
        <w:rPr>
          <w:rFonts w:hint="eastAsia" w:ascii="仿宋_GB2312" w:eastAsia="仿宋_GB2312"/>
          <w:sz w:val="32"/>
          <w:szCs w:val="32"/>
        </w:rPr>
        <w:t>局</w:t>
      </w:r>
    </w:p>
    <w:p>
      <w:pPr>
        <w:spacing w:line="540" w:lineRule="exact"/>
        <w:rPr>
          <w:rFonts w:hint="eastAsia"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2021年7月</w:t>
      </w:r>
      <w:r>
        <w:rPr>
          <w:rFonts w:ascii="仿宋_GB2312" w:eastAsia="仿宋_GB2312"/>
          <w:sz w:val="32"/>
          <w:szCs w:val="32"/>
        </w:rPr>
        <w:t>1</w:t>
      </w:r>
      <w:r>
        <w:rPr>
          <w:rFonts w:hint="eastAsia" w:ascii="仿宋_GB2312" w:eastAsia="仿宋_GB2312"/>
          <w:sz w:val="32"/>
          <w:szCs w:val="32"/>
          <w:lang w:val="en-US" w:eastAsia="zh-CN"/>
        </w:rPr>
        <w:t>5</w:t>
      </w:r>
      <w:r>
        <w:rPr>
          <w:rFonts w:hint="eastAsia" w:ascii="仿宋_GB2312" w:eastAsia="仿宋_GB2312"/>
          <w:sz w:val="32"/>
          <w:szCs w:val="32"/>
        </w:rPr>
        <w:t>日</w:t>
      </w:r>
    </w:p>
    <w:p>
      <w:pPr>
        <w:spacing w:line="340" w:lineRule="exact"/>
        <w:rPr>
          <w:rFonts w:ascii="仿宋_GB2312" w:eastAsia="仿宋_GB2312"/>
          <w:sz w:val="32"/>
          <w:szCs w:val="32"/>
        </w:rPr>
      </w:pPr>
      <w:r>
        <w:rPr>
          <w:rFonts w:hint="eastAsia" w:ascii="仿宋_GB2312" w:eastAsia="仿宋_GB2312"/>
          <w:sz w:val="32"/>
          <w:szCs w:val="32"/>
        </w:rPr>
        <w:br w:type="page"/>
      </w:r>
      <w:r>
        <w:rPr>
          <w:rFonts w:hint="eastAsia" w:ascii="仿宋_GB2312" w:eastAsia="仿宋_GB2312"/>
          <w:sz w:val="32"/>
          <w:szCs w:val="32"/>
        </w:rPr>
        <w:t>附件1</w:t>
      </w:r>
    </w:p>
    <w:p>
      <w:pPr>
        <w:widowControl/>
        <w:spacing w:after="156" w:afterLines="50" w:line="320" w:lineRule="exact"/>
        <w:jc w:val="center"/>
        <w:rPr>
          <w:rFonts w:ascii="黑体" w:hAnsi="黑体" w:eastAsia="黑体"/>
          <w:sz w:val="28"/>
          <w:szCs w:val="28"/>
        </w:rPr>
      </w:pPr>
      <w:r>
        <w:rPr>
          <w:rFonts w:hint="eastAsia" w:ascii="黑体" w:hAnsi="黑体" w:eastAsia="黑体"/>
          <w:sz w:val="28"/>
          <w:szCs w:val="28"/>
        </w:rPr>
        <w:t>2021年嘉兴市住房</w:t>
      </w:r>
      <w:r>
        <w:rPr>
          <w:rFonts w:ascii="黑体" w:hAnsi="黑体" w:eastAsia="黑体"/>
          <w:sz w:val="28"/>
          <w:szCs w:val="28"/>
        </w:rPr>
        <w:t>和城乡建设局所属事业单位</w:t>
      </w:r>
      <w:r>
        <w:rPr>
          <w:rFonts w:hint="eastAsia" w:ascii="黑体" w:hAnsi="黑体" w:eastAsia="黑体"/>
          <w:sz w:val="28"/>
          <w:szCs w:val="28"/>
        </w:rPr>
        <w:t>公开招聘</w:t>
      </w:r>
    </w:p>
    <w:p>
      <w:pPr>
        <w:widowControl/>
        <w:spacing w:after="156" w:afterLines="50" w:line="320" w:lineRule="exact"/>
        <w:jc w:val="center"/>
        <w:rPr>
          <w:rFonts w:ascii="黑体" w:hAnsi="黑体" w:eastAsia="黑体"/>
          <w:sz w:val="28"/>
          <w:szCs w:val="28"/>
        </w:rPr>
      </w:pPr>
      <w:r>
        <w:rPr>
          <w:rFonts w:hint="eastAsia" w:ascii="黑体" w:hAnsi="黑体" w:eastAsia="黑体"/>
          <w:sz w:val="28"/>
          <w:szCs w:val="28"/>
        </w:rPr>
        <w:t>高层次紧缺人才报名登记表</w:t>
      </w:r>
    </w:p>
    <w:p>
      <w:pPr>
        <w:widowControl/>
        <w:spacing w:after="156" w:afterLines="50" w:line="440" w:lineRule="exact"/>
        <w:rPr>
          <w:rFonts w:ascii="仿宋_GB2312" w:eastAsia="仿宋_GB2312"/>
          <w:b/>
          <w:sz w:val="28"/>
          <w:szCs w:val="28"/>
        </w:rPr>
      </w:pPr>
      <w:r>
        <w:rPr>
          <w:rFonts w:hint="eastAsia" w:ascii="仿宋_GB2312" w:eastAsia="仿宋_GB2312"/>
          <w:b/>
          <w:sz w:val="28"/>
          <w:szCs w:val="28"/>
        </w:rPr>
        <w:t>招聘单位：                     招聘岗位：</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650"/>
        <w:gridCol w:w="542"/>
        <w:gridCol w:w="363"/>
        <w:gridCol w:w="1085"/>
        <w:gridCol w:w="181"/>
        <w:gridCol w:w="904"/>
        <w:gridCol w:w="1085"/>
        <w:gridCol w:w="1266"/>
        <w:gridCol w:w="542"/>
        <w:gridCol w:w="723"/>
        <w:gridCol w:w="1760"/>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32" w:hRule="atLeast"/>
          <w:jc w:val="center"/>
        </w:trPr>
        <w:tc>
          <w:tcPr>
            <w:tcW w:w="1192" w:type="dxa"/>
            <w:gridSpan w:val="2"/>
            <w:tcBorders>
              <w:right w:val="single" w:color="auto" w:sz="4" w:space="0"/>
            </w:tcBorders>
            <w:noWrap w:val="0"/>
            <w:vAlign w:val="center"/>
          </w:tcPr>
          <w:p>
            <w:pPr>
              <w:widowControl/>
              <w:topLinePunct/>
              <w:jc w:val="center"/>
              <w:rPr>
                <w:rFonts w:ascii="宋体" w:hAnsi="宋体" w:cs="宋体"/>
                <w:kern w:val="0"/>
                <w:szCs w:val="21"/>
              </w:rPr>
            </w:pPr>
            <w:r>
              <w:rPr>
                <w:rFonts w:hint="eastAsia" w:ascii="宋体" w:hAnsi="宋体" w:cs="宋体"/>
                <w:kern w:val="0"/>
                <w:szCs w:val="21"/>
              </w:rPr>
              <w:t>姓 名</w:t>
            </w:r>
          </w:p>
        </w:tc>
        <w:tc>
          <w:tcPr>
            <w:tcW w:w="1448" w:type="dxa"/>
            <w:gridSpan w:val="2"/>
            <w:tcBorders>
              <w:left w:val="single" w:color="auto" w:sz="4" w:space="0"/>
              <w:right w:val="single" w:color="auto" w:sz="4" w:space="0"/>
            </w:tcBorders>
            <w:noWrap w:val="0"/>
            <w:vAlign w:val="center"/>
          </w:tcPr>
          <w:p>
            <w:pPr>
              <w:widowControl/>
              <w:topLinePunct/>
              <w:jc w:val="center"/>
              <w:rPr>
                <w:rFonts w:ascii="宋体" w:hAnsi="宋体" w:cs="宋体"/>
                <w:kern w:val="0"/>
                <w:szCs w:val="21"/>
              </w:rPr>
            </w:pPr>
          </w:p>
        </w:tc>
        <w:tc>
          <w:tcPr>
            <w:tcW w:w="1085" w:type="dxa"/>
            <w:gridSpan w:val="2"/>
            <w:tcBorders>
              <w:left w:val="single" w:color="auto" w:sz="4" w:space="0"/>
              <w:right w:val="single" w:color="auto" w:sz="4" w:space="0"/>
            </w:tcBorders>
            <w:noWrap w:val="0"/>
            <w:vAlign w:val="center"/>
          </w:tcPr>
          <w:p>
            <w:pPr>
              <w:widowControl/>
              <w:topLinePunct/>
              <w:jc w:val="center"/>
              <w:rPr>
                <w:rFonts w:ascii="宋体" w:hAnsi="宋体" w:cs="宋体"/>
                <w:kern w:val="0"/>
                <w:szCs w:val="21"/>
              </w:rPr>
            </w:pPr>
            <w:r>
              <w:rPr>
                <w:rFonts w:hint="eastAsia" w:ascii="宋体" w:hAnsi="宋体" w:cs="宋体"/>
                <w:kern w:val="0"/>
                <w:szCs w:val="21"/>
              </w:rPr>
              <w:t>性 别</w:t>
            </w:r>
          </w:p>
        </w:tc>
        <w:tc>
          <w:tcPr>
            <w:tcW w:w="1085" w:type="dxa"/>
            <w:tcBorders>
              <w:left w:val="single" w:color="auto" w:sz="4" w:space="0"/>
              <w:right w:val="single" w:color="auto" w:sz="4" w:space="0"/>
            </w:tcBorders>
            <w:noWrap w:val="0"/>
            <w:vAlign w:val="center"/>
          </w:tcPr>
          <w:p>
            <w:pPr>
              <w:widowControl/>
              <w:topLinePunct/>
              <w:jc w:val="center"/>
              <w:rPr>
                <w:rFonts w:ascii="宋体" w:hAnsi="宋体" w:cs="宋体"/>
                <w:kern w:val="0"/>
                <w:szCs w:val="21"/>
              </w:rPr>
            </w:pPr>
          </w:p>
        </w:tc>
        <w:tc>
          <w:tcPr>
            <w:tcW w:w="1266" w:type="dxa"/>
            <w:tcBorders>
              <w:left w:val="single" w:color="auto" w:sz="4" w:space="0"/>
              <w:right w:val="single" w:color="auto" w:sz="4" w:space="0"/>
            </w:tcBorders>
            <w:noWrap w:val="0"/>
            <w:vAlign w:val="center"/>
          </w:tcPr>
          <w:p>
            <w:pPr>
              <w:widowControl/>
              <w:topLinePunct/>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left w:val="single" w:color="auto" w:sz="4" w:space="0"/>
              <w:right w:val="single" w:color="auto" w:sz="4" w:space="0"/>
            </w:tcBorders>
            <w:noWrap w:val="0"/>
            <w:vAlign w:val="center"/>
          </w:tcPr>
          <w:p>
            <w:pPr>
              <w:widowControl/>
              <w:topLinePunct/>
              <w:jc w:val="center"/>
              <w:rPr>
                <w:rFonts w:ascii="宋体" w:hAnsi="宋体" w:cs="宋体"/>
                <w:kern w:val="0"/>
                <w:szCs w:val="21"/>
              </w:rPr>
            </w:pPr>
          </w:p>
        </w:tc>
        <w:tc>
          <w:tcPr>
            <w:tcW w:w="1760" w:type="dxa"/>
            <w:vMerge w:val="restart"/>
            <w:tcBorders>
              <w:left w:val="single" w:color="auto" w:sz="4" w:space="0"/>
            </w:tcBorders>
            <w:noWrap w:val="0"/>
            <w:vAlign w:val="center"/>
          </w:tcPr>
          <w:p>
            <w:pPr>
              <w:widowControl/>
              <w:topLinePunct/>
              <w:jc w:val="center"/>
              <w:rPr>
                <w:rFonts w:ascii="宋体" w:hAnsi="宋体" w:cs="宋体"/>
                <w:kern w:val="0"/>
                <w:szCs w:val="21"/>
              </w:rPr>
            </w:pPr>
            <w:r>
              <w:rPr>
                <w:rFonts w:hint="eastAsia" w:ascii="宋体" w:hAnsi="宋体" w:cs="宋体"/>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45" w:hRule="atLeast"/>
          <w:jc w:val="center"/>
        </w:trPr>
        <w:tc>
          <w:tcPr>
            <w:tcW w:w="1192" w:type="dxa"/>
            <w:gridSpan w:val="2"/>
            <w:tcBorders>
              <w:right w:val="single" w:color="auto" w:sz="4" w:space="0"/>
            </w:tcBorders>
            <w:noWrap w:val="0"/>
            <w:vAlign w:val="center"/>
          </w:tcPr>
          <w:p>
            <w:pPr>
              <w:widowControl/>
              <w:topLinePunct/>
              <w:jc w:val="center"/>
              <w:rPr>
                <w:rFonts w:ascii="宋体" w:hAnsi="宋体" w:cs="宋体"/>
                <w:kern w:val="0"/>
                <w:szCs w:val="21"/>
              </w:rPr>
            </w:pPr>
            <w:r>
              <w:rPr>
                <w:rFonts w:hint="eastAsia" w:ascii="宋体" w:hAnsi="宋体" w:cs="宋体"/>
                <w:kern w:val="0"/>
                <w:szCs w:val="21"/>
              </w:rPr>
              <w:t>户  口</w:t>
            </w:r>
          </w:p>
          <w:p>
            <w:pPr>
              <w:widowControl/>
              <w:topLinePunct/>
              <w:jc w:val="center"/>
              <w:rPr>
                <w:rFonts w:ascii="宋体" w:hAnsi="宋体" w:cs="宋体"/>
                <w:kern w:val="0"/>
                <w:szCs w:val="21"/>
              </w:rPr>
            </w:pPr>
            <w:r>
              <w:rPr>
                <w:rFonts w:hint="eastAsia" w:ascii="宋体" w:hAnsi="宋体" w:cs="宋体"/>
                <w:kern w:val="0"/>
                <w:szCs w:val="21"/>
              </w:rPr>
              <w:t>所在地</w:t>
            </w:r>
          </w:p>
        </w:tc>
        <w:tc>
          <w:tcPr>
            <w:tcW w:w="1448" w:type="dxa"/>
            <w:gridSpan w:val="2"/>
            <w:tcBorders>
              <w:left w:val="single" w:color="auto" w:sz="4" w:space="0"/>
              <w:right w:val="single" w:color="auto" w:sz="4" w:space="0"/>
            </w:tcBorders>
            <w:noWrap w:val="0"/>
            <w:vAlign w:val="center"/>
          </w:tcPr>
          <w:p>
            <w:pPr>
              <w:widowControl/>
              <w:topLinePunct/>
              <w:jc w:val="center"/>
              <w:rPr>
                <w:rFonts w:ascii="宋体" w:hAnsi="宋体" w:cs="宋体"/>
                <w:kern w:val="0"/>
                <w:szCs w:val="21"/>
              </w:rPr>
            </w:pPr>
          </w:p>
        </w:tc>
        <w:tc>
          <w:tcPr>
            <w:tcW w:w="1085" w:type="dxa"/>
            <w:gridSpan w:val="2"/>
            <w:tcBorders>
              <w:left w:val="single" w:color="auto" w:sz="4" w:space="0"/>
              <w:right w:val="single" w:color="auto" w:sz="4" w:space="0"/>
            </w:tcBorders>
            <w:noWrap w:val="0"/>
            <w:vAlign w:val="center"/>
          </w:tcPr>
          <w:p>
            <w:pPr>
              <w:widowControl/>
              <w:topLinePunct/>
              <w:jc w:val="center"/>
              <w:rPr>
                <w:rFonts w:ascii="宋体" w:hAnsi="宋体" w:cs="宋体"/>
                <w:kern w:val="0"/>
                <w:szCs w:val="21"/>
              </w:rPr>
            </w:pPr>
            <w:r>
              <w:rPr>
                <w:rFonts w:hint="eastAsia" w:ascii="宋体" w:hAnsi="宋体" w:cs="宋体"/>
                <w:kern w:val="0"/>
                <w:szCs w:val="21"/>
              </w:rPr>
              <w:t>政治</w:t>
            </w:r>
          </w:p>
          <w:p>
            <w:pPr>
              <w:widowControl/>
              <w:topLinePunct/>
              <w:jc w:val="center"/>
              <w:rPr>
                <w:rFonts w:ascii="宋体" w:hAnsi="宋体" w:cs="宋体"/>
                <w:kern w:val="0"/>
                <w:szCs w:val="21"/>
              </w:rPr>
            </w:pPr>
            <w:r>
              <w:rPr>
                <w:rFonts w:hint="eastAsia" w:ascii="宋体" w:hAnsi="宋体" w:cs="宋体"/>
                <w:kern w:val="0"/>
                <w:szCs w:val="21"/>
              </w:rPr>
              <w:t>面貌</w:t>
            </w:r>
          </w:p>
        </w:tc>
        <w:tc>
          <w:tcPr>
            <w:tcW w:w="1085" w:type="dxa"/>
            <w:tcBorders>
              <w:left w:val="single" w:color="auto" w:sz="4" w:space="0"/>
              <w:right w:val="single" w:color="auto" w:sz="4" w:space="0"/>
            </w:tcBorders>
            <w:noWrap w:val="0"/>
            <w:vAlign w:val="center"/>
          </w:tcPr>
          <w:p>
            <w:pPr>
              <w:widowControl/>
              <w:topLinePunct/>
              <w:jc w:val="center"/>
              <w:rPr>
                <w:rFonts w:ascii="宋体" w:hAnsi="宋体" w:cs="宋体"/>
                <w:kern w:val="0"/>
                <w:szCs w:val="21"/>
              </w:rPr>
            </w:pPr>
          </w:p>
        </w:tc>
        <w:tc>
          <w:tcPr>
            <w:tcW w:w="1266" w:type="dxa"/>
            <w:tcBorders>
              <w:left w:val="single" w:color="auto" w:sz="4" w:space="0"/>
              <w:right w:val="single" w:color="auto" w:sz="4" w:space="0"/>
            </w:tcBorders>
            <w:noWrap w:val="0"/>
            <w:vAlign w:val="center"/>
          </w:tcPr>
          <w:p>
            <w:pPr>
              <w:widowControl/>
              <w:topLinePunct/>
              <w:jc w:val="center"/>
              <w:rPr>
                <w:rFonts w:ascii="宋体" w:hAnsi="宋体" w:cs="宋体"/>
                <w:kern w:val="0"/>
                <w:szCs w:val="21"/>
              </w:rPr>
            </w:pPr>
            <w:r>
              <w:rPr>
                <w:rFonts w:hint="eastAsia" w:ascii="宋体" w:hAnsi="宋体" w:cs="宋体"/>
                <w:kern w:val="0"/>
                <w:szCs w:val="21"/>
              </w:rPr>
              <w:t>生源地</w:t>
            </w:r>
          </w:p>
        </w:tc>
        <w:tc>
          <w:tcPr>
            <w:tcW w:w="1265" w:type="dxa"/>
            <w:gridSpan w:val="2"/>
            <w:tcBorders>
              <w:left w:val="single" w:color="auto" w:sz="4" w:space="0"/>
              <w:right w:val="single" w:color="auto" w:sz="4" w:space="0"/>
            </w:tcBorders>
            <w:noWrap w:val="0"/>
            <w:vAlign w:val="center"/>
          </w:tcPr>
          <w:p>
            <w:pPr>
              <w:widowControl/>
              <w:topLinePunct/>
              <w:jc w:val="center"/>
              <w:rPr>
                <w:rFonts w:ascii="宋体" w:hAnsi="宋体" w:cs="宋体"/>
                <w:kern w:val="0"/>
                <w:szCs w:val="21"/>
              </w:rPr>
            </w:pPr>
          </w:p>
        </w:tc>
        <w:tc>
          <w:tcPr>
            <w:tcW w:w="1760" w:type="dxa"/>
            <w:vMerge w:val="continue"/>
            <w:tcBorders>
              <w:left w:val="single" w:color="auto" w:sz="4" w:space="0"/>
            </w:tcBorders>
            <w:noWrap w:val="0"/>
            <w:vAlign w:val="center"/>
          </w:tcPr>
          <w:p>
            <w:pPr>
              <w:widowControl/>
              <w:topLinePun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94" w:hRule="atLeast"/>
          <w:jc w:val="center"/>
        </w:trPr>
        <w:tc>
          <w:tcPr>
            <w:tcW w:w="1555" w:type="dxa"/>
            <w:gridSpan w:val="3"/>
            <w:tcBorders>
              <w:right w:val="single" w:color="auto" w:sz="4" w:space="0"/>
            </w:tcBorders>
            <w:noWrap w:val="0"/>
            <w:vAlign w:val="center"/>
          </w:tcPr>
          <w:p>
            <w:pPr>
              <w:widowControl/>
              <w:topLinePunct/>
              <w:jc w:val="center"/>
              <w:rPr>
                <w:rFonts w:ascii="宋体" w:hAnsi="宋体" w:cs="宋体"/>
                <w:kern w:val="0"/>
                <w:szCs w:val="21"/>
              </w:rPr>
            </w:pPr>
            <w:r>
              <w:rPr>
                <w:rFonts w:hint="eastAsia" w:ascii="宋体" w:hAnsi="宋体" w:cs="宋体"/>
                <w:kern w:val="0"/>
                <w:szCs w:val="21"/>
              </w:rPr>
              <w:t>身份证号码</w:t>
            </w:r>
          </w:p>
        </w:tc>
        <w:tc>
          <w:tcPr>
            <w:tcW w:w="3255" w:type="dxa"/>
            <w:gridSpan w:val="4"/>
            <w:tcBorders>
              <w:left w:val="single" w:color="auto" w:sz="4" w:space="0"/>
              <w:right w:val="single" w:color="auto" w:sz="4" w:space="0"/>
            </w:tcBorders>
            <w:noWrap w:val="0"/>
            <w:vAlign w:val="center"/>
          </w:tcPr>
          <w:p>
            <w:pPr>
              <w:widowControl/>
              <w:topLinePunct/>
              <w:jc w:val="center"/>
              <w:rPr>
                <w:rFonts w:ascii="宋体" w:hAnsi="宋体" w:cs="宋体"/>
                <w:kern w:val="0"/>
                <w:szCs w:val="21"/>
              </w:rPr>
            </w:pPr>
          </w:p>
        </w:tc>
        <w:tc>
          <w:tcPr>
            <w:tcW w:w="1266" w:type="dxa"/>
            <w:tcBorders>
              <w:left w:val="single" w:color="auto" w:sz="4" w:space="0"/>
              <w:right w:val="single" w:color="auto" w:sz="4" w:space="0"/>
            </w:tcBorders>
            <w:noWrap w:val="0"/>
            <w:vAlign w:val="center"/>
          </w:tcPr>
          <w:p>
            <w:pPr>
              <w:widowControl/>
              <w:topLinePunct/>
              <w:jc w:val="center"/>
              <w:rPr>
                <w:rFonts w:ascii="宋体" w:hAnsi="宋体" w:cs="宋体"/>
                <w:kern w:val="0"/>
                <w:szCs w:val="21"/>
              </w:rPr>
            </w:pPr>
            <w:r>
              <w:rPr>
                <w:rFonts w:hint="eastAsia" w:ascii="宋体" w:hAnsi="宋体" w:cs="宋体"/>
                <w:kern w:val="0"/>
                <w:szCs w:val="21"/>
              </w:rPr>
              <w:t>健康状况</w:t>
            </w:r>
          </w:p>
        </w:tc>
        <w:tc>
          <w:tcPr>
            <w:tcW w:w="1265" w:type="dxa"/>
            <w:gridSpan w:val="2"/>
            <w:tcBorders>
              <w:left w:val="single" w:color="auto" w:sz="4" w:space="0"/>
              <w:right w:val="single" w:color="auto" w:sz="4" w:space="0"/>
            </w:tcBorders>
            <w:noWrap w:val="0"/>
            <w:vAlign w:val="center"/>
          </w:tcPr>
          <w:p>
            <w:pPr>
              <w:widowControl/>
              <w:topLinePunct/>
              <w:jc w:val="center"/>
              <w:rPr>
                <w:rFonts w:ascii="宋体" w:hAnsi="宋体" w:cs="宋体"/>
                <w:kern w:val="0"/>
                <w:szCs w:val="21"/>
              </w:rPr>
            </w:pPr>
          </w:p>
        </w:tc>
        <w:tc>
          <w:tcPr>
            <w:tcW w:w="1760" w:type="dxa"/>
            <w:vMerge w:val="continue"/>
            <w:tcBorders>
              <w:left w:val="single" w:color="auto" w:sz="4" w:space="0"/>
            </w:tcBorders>
            <w:noWrap w:val="0"/>
            <w:vAlign w:val="center"/>
          </w:tcPr>
          <w:p>
            <w:pPr>
              <w:widowControl/>
              <w:topLinePun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79" w:hRule="atLeast"/>
          <w:jc w:val="center"/>
        </w:trPr>
        <w:tc>
          <w:tcPr>
            <w:tcW w:w="1555" w:type="dxa"/>
            <w:gridSpan w:val="3"/>
            <w:tcBorders>
              <w:right w:val="single" w:color="auto" w:sz="4" w:space="0"/>
            </w:tcBorders>
            <w:noWrap w:val="0"/>
            <w:vAlign w:val="center"/>
          </w:tcPr>
          <w:p>
            <w:pPr>
              <w:widowControl/>
              <w:topLinePunct/>
              <w:jc w:val="center"/>
              <w:rPr>
                <w:rFonts w:ascii="宋体" w:hAnsi="宋体" w:cs="宋体"/>
                <w:kern w:val="0"/>
                <w:szCs w:val="21"/>
              </w:rPr>
            </w:pPr>
            <w:r>
              <w:rPr>
                <w:rFonts w:hint="eastAsia" w:ascii="宋体" w:hAnsi="宋体" w:cs="宋体"/>
                <w:kern w:val="0"/>
                <w:szCs w:val="21"/>
              </w:rPr>
              <w:t>学历</w:t>
            </w:r>
          </w:p>
        </w:tc>
        <w:tc>
          <w:tcPr>
            <w:tcW w:w="1266" w:type="dxa"/>
            <w:gridSpan w:val="2"/>
            <w:tcBorders>
              <w:right w:val="single" w:color="auto" w:sz="4" w:space="0"/>
            </w:tcBorders>
            <w:noWrap w:val="0"/>
            <w:vAlign w:val="center"/>
          </w:tcPr>
          <w:p>
            <w:pPr>
              <w:widowControl/>
              <w:topLinePunct/>
              <w:jc w:val="center"/>
              <w:rPr>
                <w:rFonts w:ascii="宋体" w:hAnsi="宋体" w:cs="宋体"/>
                <w:kern w:val="0"/>
                <w:szCs w:val="21"/>
              </w:rPr>
            </w:pPr>
          </w:p>
        </w:tc>
        <w:tc>
          <w:tcPr>
            <w:tcW w:w="904" w:type="dxa"/>
            <w:tcBorders>
              <w:right w:val="single" w:color="auto" w:sz="4" w:space="0"/>
            </w:tcBorders>
            <w:noWrap w:val="0"/>
            <w:vAlign w:val="center"/>
          </w:tcPr>
          <w:p>
            <w:pPr>
              <w:widowControl/>
              <w:topLinePunct/>
              <w:jc w:val="center"/>
              <w:rPr>
                <w:rFonts w:ascii="宋体" w:hAnsi="宋体" w:cs="宋体"/>
                <w:kern w:val="0"/>
                <w:szCs w:val="21"/>
              </w:rPr>
            </w:pPr>
            <w:r>
              <w:rPr>
                <w:rFonts w:hint="eastAsia" w:ascii="宋体" w:hAnsi="宋体" w:cs="宋体"/>
                <w:kern w:val="0"/>
                <w:szCs w:val="21"/>
              </w:rPr>
              <w:t>学位</w:t>
            </w:r>
          </w:p>
        </w:tc>
        <w:tc>
          <w:tcPr>
            <w:tcW w:w="1085" w:type="dxa"/>
            <w:tcBorders>
              <w:right w:val="single" w:color="auto" w:sz="4" w:space="0"/>
            </w:tcBorders>
            <w:noWrap w:val="0"/>
            <w:vAlign w:val="center"/>
          </w:tcPr>
          <w:p>
            <w:pPr>
              <w:widowControl/>
              <w:topLinePunct/>
              <w:jc w:val="center"/>
              <w:rPr>
                <w:rFonts w:ascii="宋体" w:hAnsi="宋体" w:cs="宋体"/>
                <w:kern w:val="0"/>
                <w:szCs w:val="21"/>
              </w:rPr>
            </w:pPr>
          </w:p>
        </w:tc>
        <w:tc>
          <w:tcPr>
            <w:tcW w:w="1266" w:type="dxa"/>
            <w:tcBorders>
              <w:left w:val="single" w:color="auto" w:sz="4" w:space="0"/>
              <w:right w:val="single" w:color="auto" w:sz="4" w:space="0"/>
            </w:tcBorders>
            <w:noWrap w:val="0"/>
            <w:vAlign w:val="center"/>
          </w:tcPr>
          <w:p>
            <w:pPr>
              <w:widowControl/>
              <w:topLinePunct/>
              <w:jc w:val="center"/>
              <w:rPr>
                <w:rFonts w:ascii="宋体" w:hAnsi="宋体" w:cs="宋体"/>
                <w:kern w:val="0"/>
                <w:szCs w:val="21"/>
              </w:rPr>
            </w:pPr>
            <w:r>
              <w:rPr>
                <w:rFonts w:hint="eastAsia" w:ascii="宋体" w:hAnsi="宋体" w:cs="宋体"/>
                <w:kern w:val="0"/>
                <w:szCs w:val="21"/>
              </w:rPr>
              <w:t>毕业时间</w:t>
            </w:r>
          </w:p>
        </w:tc>
        <w:tc>
          <w:tcPr>
            <w:tcW w:w="1265" w:type="dxa"/>
            <w:gridSpan w:val="2"/>
            <w:tcBorders>
              <w:left w:val="single" w:color="auto" w:sz="4" w:space="0"/>
              <w:right w:val="single" w:color="auto" w:sz="4" w:space="0"/>
            </w:tcBorders>
            <w:noWrap w:val="0"/>
            <w:vAlign w:val="center"/>
          </w:tcPr>
          <w:p>
            <w:pPr>
              <w:widowControl/>
              <w:topLinePunct/>
              <w:jc w:val="center"/>
              <w:rPr>
                <w:rFonts w:ascii="宋体" w:hAnsi="宋体" w:cs="宋体"/>
                <w:kern w:val="0"/>
                <w:szCs w:val="21"/>
              </w:rPr>
            </w:pPr>
          </w:p>
        </w:tc>
        <w:tc>
          <w:tcPr>
            <w:tcW w:w="1760" w:type="dxa"/>
            <w:vMerge w:val="continue"/>
            <w:tcBorders>
              <w:left w:val="single" w:color="auto" w:sz="4" w:space="0"/>
            </w:tcBorders>
            <w:noWrap w:val="0"/>
            <w:vAlign w:val="center"/>
          </w:tcPr>
          <w:p>
            <w:pPr>
              <w:widowControl/>
              <w:topLinePun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55" w:hRule="atLeast"/>
          <w:jc w:val="center"/>
        </w:trPr>
        <w:tc>
          <w:tcPr>
            <w:tcW w:w="1555" w:type="dxa"/>
            <w:gridSpan w:val="3"/>
            <w:noWrap w:val="0"/>
            <w:vAlign w:val="center"/>
          </w:tcPr>
          <w:p>
            <w:pPr>
              <w:widowControl/>
              <w:topLinePunct/>
              <w:jc w:val="center"/>
              <w:rPr>
                <w:rFonts w:ascii="宋体" w:hAnsi="宋体" w:cs="宋体"/>
                <w:kern w:val="0"/>
                <w:szCs w:val="21"/>
              </w:rPr>
            </w:pPr>
            <w:r>
              <w:rPr>
                <w:rFonts w:hint="eastAsia" w:ascii="宋体" w:hAnsi="宋体" w:cs="宋体"/>
                <w:kern w:val="0"/>
                <w:szCs w:val="21"/>
              </w:rPr>
              <w:t>毕业院校</w:t>
            </w:r>
          </w:p>
        </w:tc>
        <w:tc>
          <w:tcPr>
            <w:tcW w:w="3255" w:type="dxa"/>
            <w:gridSpan w:val="4"/>
            <w:tcBorders>
              <w:left w:val="single" w:color="auto" w:sz="4" w:space="0"/>
            </w:tcBorders>
            <w:noWrap w:val="0"/>
            <w:vAlign w:val="center"/>
          </w:tcPr>
          <w:p>
            <w:pPr>
              <w:widowControl/>
              <w:topLinePunct/>
              <w:jc w:val="center"/>
              <w:rPr>
                <w:rFonts w:ascii="宋体" w:hAnsi="宋体" w:cs="宋体"/>
                <w:kern w:val="0"/>
                <w:szCs w:val="21"/>
              </w:rPr>
            </w:pPr>
          </w:p>
        </w:tc>
        <w:tc>
          <w:tcPr>
            <w:tcW w:w="1266" w:type="dxa"/>
            <w:tcBorders>
              <w:left w:val="single" w:color="auto" w:sz="4" w:space="0"/>
            </w:tcBorders>
            <w:noWrap w:val="0"/>
            <w:vAlign w:val="center"/>
          </w:tcPr>
          <w:p>
            <w:pPr>
              <w:widowControl/>
              <w:topLinePunct/>
              <w:jc w:val="center"/>
              <w:rPr>
                <w:rFonts w:ascii="宋体" w:hAnsi="宋体" w:cs="宋体"/>
                <w:kern w:val="0"/>
                <w:szCs w:val="21"/>
              </w:rPr>
            </w:pPr>
            <w:r>
              <w:rPr>
                <w:rFonts w:hint="eastAsia" w:ascii="宋体" w:hAnsi="宋体" w:cs="宋体"/>
                <w:kern w:val="0"/>
                <w:szCs w:val="21"/>
              </w:rPr>
              <w:t>所学专业</w:t>
            </w:r>
          </w:p>
        </w:tc>
        <w:tc>
          <w:tcPr>
            <w:tcW w:w="3025" w:type="dxa"/>
            <w:gridSpan w:val="3"/>
            <w:tcBorders>
              <w:left w:val="single" w:color="auto" w:sz="4" w:space="0"/>
            </w:tcBorders>
            <w:noWrap w:val="0"/>
            <w:vAlign w:val="center"/>
          </w:tcPr>
          <w:p>
            <w:pPr>
              <w:widowControl/>
              <w:topLinePun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45" w:hRule="atLeast"/>
          <w:jc w:val="center"/>
        </w:trPr>
        <w:tc>
          <w:tcPr>
            <w:tcW w:w="1555" w:type="dxa"/>
            <w:gridSpan w:val="3"/>
            <w:noWrap w:val="0"/>
            <w:vAlign w:val="center"/>
          </w:tcPr>
          <w:p>
            <w:pPr>
              <w:jc w:val="center"/>
              <w:rPr>
                <w:rFonts w:ascii="宋体" w:hAnsi="宋体" w:cs="宋体"/>
                <w:kern w:val="0"/>
                <w:szCs w:val="21"/>
              </w:rPr>
            </w:pPr>
            <w:r>
              <w:rPr>
                <w:rFonts w:hint="eastAsia" w:ascii="宋体" w:hAnsi="宋体" w:cs="宋体"/>
                <w:kern w:val="0"/>
                <w:szCs w:val="21"/>
              </w:rPr>
              <w:t>专业技术资格及取得时间</w:t>
            </w:r>
          </w:p>
        </w:tc>
        <w:tc>
          <w:tcPr>
            <w:tcW w:w="3255" w:type="dxa"/>
            <w:gridSpan w:val="4"/>
            <w:tcBorders>
              <w:left w:val="single" w:color="auto" w:sz="4" w:space="0"/>
            </w:tcBorders>
            <w:noWrap w:val="0"/>
            <w:vAlign w:val="center"/>
          </w:tcPr>
          <w:p>
            <w:pPr>
              <w:widowControl/>
              <w:topLinePunct/>
              <w:jc w:val="center"/>
              <w:rPr>
                <w:rFonts w:ascii="宋体" w:hAnsi="宋体" w:cs="宋体"/>
                <w:kern w:val="0"/>
                <w:szCs w:val="21"/>
              </w:rPr>
            </w:pPr>
          </w:p>
        </w:tc>
        <w:tc>
          <w:tcPr>
            <w:tcW w:w="1266" w:type="dxa"/>
            <w:tcBorders>
              <w:left w:val="single" w:color="auto" w:sz="4" w:space="0"/>
            </w:tcBorders>
            <w:noWrap w:val="0"/>
            <w:vAlign w:val="center"/>
          </w:tcPr>
          <w:p>
            <w:pPr>
              <w:widowControl/>
              <w:topLinePunct/>
              <w:jc w:val="center"/>
              <w:rPr>
                <w:rFonts w:ascii="宋体" w:hAnsi="宋体" w:cs="宋体"/>
                <w:kern w:val="0"/>
                <w:szCs w:val="21"/>
              </w:rPr>
            </w:pPr>
            <w:r>
              <w:rPr>
                <w:rFonts w:hint="eastAsia" w:ascii="宋体" w:hAnsi="宋体" w:cs="宋体"/>
                <w:kern w:val="0"/>
                <w:szCs w:val="21"/>
              </w:rPr>
              <w:t>职业（执业）资格</w:t>
            </w:r>
          </w:p>
        </w:tc>
        <w:tc>
          <w:tcPr>
            <w:tcW w:w="3025" w:type="dxa"/>
            <w:gridSpan w:val="3"/>
            <w:tcBorders>
              <w:left w:val="single" w:color="auto" w:sz="4" w:space="0"/>
            </w:tcBorders>
            <w:noWrap w:val="0"/>
            <w:vAlign w:val="center"/>
          </w:tcPr>
          <w:p>
            <w:pPr>
              <w:widowControl/>
              <w:topLinePun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45" w:hRule="atLeast"/>
          <w:jc w:val="center"/>
        </w:trPr>
        <w:tc>
          <w:tcPr>
            <w:tcW w:w="1555" w:type="dxa"/>
            <w:gridSpan w:val="3"/>
            <w:tcBorders>
              <w:right w:val="single" w:color="auto" w:sz="4" w:space="0"/>
            </w:tcBorders>
            <w:noWrap w:val="0"/>
            <w:vAlign w:val="center"/>
          </w:tcPr>
          <w:p>
            <w:pPr>
              <w:widowControl/>
              <w:topLinePunct/>
              <w:jc w:val="center"/>
              <w:rPr>
                <w:rFonts w:ascii="宋体" w:hAnsi="宋体" w:cs="宋体"/>
                <w:kern w:val="0"/>
                <w:szCs w:val="21"/>
              </w:rPr>
            </w:pPr>
            <w:r>
              <w:rPr>
                <w:rFonts w:hint="eastAsia" w:ascii="宋体" w:hAnsi="宋体" w:cs="宋体"/>
                <w:kern w:val="0"/>
                <w:szCs w:val="21"/>
              </w:rPr>
              <w:t>现工作单位</w:t>
            </w:r>
          </w:p>
        </w:tc>
        <w:tc>
          <w:tcPr>
            <w:tcW w:w="3255" w:type="dxa"/>
            <w:gridSpan w:val="4"/>
            <w:tcBorders>
              <w:left w:val="single" w:color="auto" w:sz="4" w:space="0"/>
            </w:tcBorders>
            <w:noWrap w:val="0"/>
            <w:vAlign w:val="center"/>
          </w:tcPr>
          <w:p>
            <w:pPr>
              <w:widowControl/>
              <w:topLinePunct/>
              <w:jc w:val="center"/>
              <w:rPr>
                <w:rFonts w:ascii="宋体" w:hAnsi="宋体" w:cs="宋体"/>
                <w:kern w:val="0"/>
                <w:szCs w:val="21"/>
              </w:rPr>
            </w:pPr>
          </w:p>
        </w:tc>
        <w:tc>
          <w:tcPr>
            <w:tcW w:w="1808" w:type="dxa"/>
            <w:gridSpan w:val="2"/>
            <w:tcBorders>
              <w:left w:val="single" w:color="auto" w:sz="4" w:space="0"/>
            </w:tcBorders>
            <w:noWrap w:val="0"/>
            <w:vAlign w:val="center"/>
          </w:tcPr>
          <w:p>
            <w:pPr>
              <w:topLinePunct/>
              <w:jc w:val="center"/>
              <w:rPr>
                <w:rFonts w:ascii="宋体" w:hAnsi="宋体" w:cs="宋体"/>
                <w:kern w:val="0"/>
                <w:szCs w:val="21"/>
              </w:rPr>
            </w:pPr>
            <w:r>
              <w:rPr>
                <w:rFonts w:hint="eastAsia" w:ascii="宋体" w:hAnsi="宋体" w:cs="宋体"/>
                <w:kern w:val="0"/>
                <w:szCs w:val="21"/>
              </w:rPr>
              <w:t>掌握何种</w:t>
            </w:r>
          </w:p>
          <w:p>
            <w:pPr>
              <w:topLinePunct/>
              <w:jc w:val="center"/>
              <w:rPr>
                <w:rFonts w:ascii="宋体" w:hAnsi="宋体" w:cs="宋体"/>
                <w:kern w:val="0"/>
                <w:szCs w:val="21"/>
              </w:rPr>
            </w:pPr>
            <w:r>
              <w:rPr>
                <w:rFonts w:hint="eastAsia" w:ascii="宋体" w:hAnsi="宋体" w:cs="宋体"/>
                <w:kern w:val="0"/>
                <w:szCs w:val="21"/>
              </w:rPr>
              <w:t>外语及程度</w:t>
            </w:r>
          </w:p>
        </w:tc>
        <w:tc>
          <w:tcPr>
            <w:tcW w:w="2483" w:type="dxa"/>
            <w:gridSpan w:val="2"/>
            <w:tcBorders>
              <w:left w:val="single" w:color="auto" w:sz="4" w:space="0"/>
            </w:tcBorders>
            <w:noWrap w:val="0"/>
            <w:vAlign w:val="center"/>
          </w:tcPr>
          <w:p>
            <w:pPr>
              <w:widowControl/>
              <w:topLinePun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67" w:hRule="atLeast"/>
          <w:jc w:val="center"/>
        </w:trPr>
        <w:tc>
          <w:tcPr>
            <w:tcW w:w="1555" w:type="dxa"/>
            <w:gridSpan w:val="3"/>
            <w:tcBorders>
              <w:right w:val="single" w:color="auto" w:sz="4" w:space="0"/>
            </w:tcBorders>
            <w:noWrap w:val="0"/>
            <w:vAlign w:val="center"/>
          </w:tcPr>
          <w:p>
            <w:pPr>
              <w:widowControl/>
              <w:topLinePunct/>
              <w:jc w:val="center"/>
              <w:rPr>
                <w:rFonts w:ascii="宋体" w:hAnsi="宋体" w:cs="宋体"/>
                <w:kern w:val="0"/>
                <w:szCs w:val="21"/>
              </w:rPr>
            </w:pPr>
            <w:r>
              <w:rPr>
                <w:rFonts w:hint="eastAsia" w:ascii="宋体" w:hAnsi="宋体" w:cs="宋体"/>
                <w:kern w:val="0"/>
                <w:szCs w:val="21"/>
              </w:rPr>
              <w:t>家庭地址</w:t>
            </w:r>
          </w:p>
        </w:tc>
        <w:tc>
          <w:tcPr>
            <w:tcW w:w="3255" w:type="dxa"/>
            <w:gridSpan w:val="4"/>
            <w:tcBorders>
              <w:left w:val="single" w:color="auto" w:sz="4" w:space="0"/>
              <w:right w:val="single" w:color="auto" w:sz="4" w:space="0"/>
            </w:tcBorders>
            <w:noWrap w:val="0"/>
            <w:vAlign w:val="center"/>
          </w:tcPr>
          <w:p>
            <w:pPr>
              <w:widowControl/>
              <w:topLinePunct/>
              <w:jc w:val="center"/>
              <w:rPr>
                <w:rFonts w:ascii="宋体" w:hAnsi="宋体" w:cs="宋体"/>
                <w:kern w:val="0"/>
                <w:szCs w:val="21"/>
              </w:rPr>
            </w:pPr>
          </w:p>
        </w:tc>
        <w:tc>
          <w:tcPr>
            <w:tcW w:w="1808" w:type="dxa"/>
            <w:gridSpan w:val="2"/>
            <w:tcBorders>
              <w:left w:val="single" w:color="auto" w:sz="4" w:space="0"/>
              <w:right w:val="single" w:color="auto" w:sz="4" w:space="0"/>
            </w:tcBorders>
            <w:noWrap w:val="0"/>
            <w:vAlign w:val="center"/>
          </w:tcPr>
          <w:p>
            <w:pPr>
              <w:widowControl/>
              <w:topLinePunct/>
              <w:jc w:val="center"/>
              <w:rPr>
                <w:rFonts w:ascii="宋体" w:hAnsi="宋体" w:cs="宋体"/>
                <w:kern w:val="0"/>
                <w:szCs w:val="21"/>
              </w:rPr>
            </w:pPr>
            <w:r>
              <w:rPr>
                <w:rFonts w:hint="eastAsia" w:ascii="宋体" w:hAnsi="宋体" w:cs="宋体"/>
                <w:kern w:val="0"/>
                <w:szCs w:val="21"/>
              </w:rPr>
              <w:t>手机号码</w:t>
            </w:r>
          </w:p>
        </w:tc>
        <w:tc>
          <w:tcPr>
            <w:tcW w:w="2483" w:type="dxa"/>
            <w:gridSpan w:val="2"/>
            <w:tcBorders>
              <w:left w:val="single" w:color="auto" w:sz="4" w:space="0"/>
            </w:tcBorders>
            <w:noWrap w:val="0"/>
            <w:vAlign w:val="center"/>
          </w:tcPr>
          <w:p>
            <w:pPr>
              <w:widowControl/>
              <w:topLinePun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635" w:hRule="atLeast"/>
          <w:jc w:val="center"/>
        </w:trPr>
        <w:tc>
          <w:tcPr>
            <w:tcW w:w="650" w:type="dxa"/>
            <w:tcBorders>
              <w:right w:val="single" w:color="auto" w:sz="4" w:space="0"/>
            </w:tcBorders>
            <w:noWrap w:val="0"/>
            <w:vAlign w:val="center"/>
          </w:tcPr>
          <w:p>
            <w:pPr>
              <w:widowControl/>
              <w:topLinePunct/>
              <w:jc w:val="center"/>
              <w:rPr>
                <w:rFonts w:ascii="宋体" w:hAnsi="宋体" w:cs="宋体"/>
                <w:kern w:val="0"/>
                <w:szCs w:val="21"/>
              </w:rPr>
            </w:pPr>
            <w:r>
              <w:rPr>
                <w:rFonts w:hint="eastAsia" w:ascii="宋体" w:hAnsi="宋体" w:cs="宋体"/>
                <w:kern w:val="0"/>
                <w:szCs w:val="21"/>
              </w:rPr>
              <w:t>学习 工作简历</w:t>
            </w:r>
          </w:p>
        </w:tc>
        <w:tc>
          <w:tcPr>
            <w:tcW w:w="8451" w:type="dxa"/>
            <w:gridSpan w:val="10"/>
            <w:tcBorders>
              <w:left w:val="single" w:color="auto" w:sz="4" w:space="0"/>
            </w:tcBorders>
            <w:noWrap w:val="0"/>
            <w:vAlign w:val="center"/>
          </w:tcPr>
          <w:p>
            <w:pPr>
              <w:widowControl/>
              <w:topLinePunct/>
              <w:rPr>
                <w:rFonts w:ascii="宋体" w:hAnsi="宋体" w:cs="宋体"/>
                <w:kern w:val="0"/>
                <w:szCs w:val="21"/>
              </w:rPr>
            </w:pPr>
            <w:r>
              <w:rPr>
                <w:rFonts w:hint="eastAsia" w:ascii="宋体" w:hAnsi="宋体" w:cs="宋体"/>
                <w:kern w:val="0"/>
                <w:szCs w:val="21"/>
              </w:rPr>
              <w:t>（从高中阶段开始填写）</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492" w:hRule="atLeast"/>
          <w:jc w:val="center"/>
        </w:trPr>
        <w:tc>
          <w:tcPr>
            <w:tcW w:w="650" w:type="dxa"/>
            <w:tcBorders>
              <w:right w:val="single" w:color="auto" w:sz="4" w:space="0"/>
            </w:tcBorders>
            <w:noWrap w:val="0"/>
            <w:vAlign w:val="center"/>
          </w:tcPr>
          <w:p>
            <w:pPr>
              <w:widowControl/>
              <w:topLinePunct/>
              <w:jc w:val="center"/>
              <w:rPr>
                <w:rFonts w:ascii="宋体" w:hAnsi="宋体" w:cs="宋体"/>
                <w:kern w:val="0"/>
                <w:szCs w:val="21"/>
              </w:rPr>
            </w:pPr>
            <w:r>
              <w:rPr>
                <w:rFonts w:hint="eastAsia" w:ascii="宋体" w:hAnsi="宋体" w:cs="宋体"/>
                <w:kern w:val="0"/>
                <w:szCs w:val="21"/>
              </w:rPr>
              <w:t>学术成就</w:t>
            </w:r>
          </w:p>
        </w:tc>
        <w:tc>
          <w:tcPr>
            <w:tcW w:w="8451" w:type="dxa"/>
            <w:gridSpan w:val="10"/>
            <w:tcBorders>
              <w:left w:val="single" w:color="auto" w:sz="4" w:space="0"/>
            </w:tcBorders>
            <w:noWrap w:val="0"/>
            <w:vAlign w:val="center"/>
          </w:tcPr>
          <w:p>
            <w:pPr>
              <w:widowControl/>
              <w:topLinePunct/>
              <w:rPr>
                <w:rFonts w:ascii="宋体" w:hAnsi="宋体" w:cs="宋体"/>
                <w:kern w:val="0"/>
                <w:szCs w:val="21"/>
              </w:rPr>
            </w:pPr>
            <w:r>
              <w:rPr>
                <w:rFonts w:hint="eastAsia" w:ascii="宋体" w:hAnsi="宋体" w:cs="宋体"/>
                <w:kern w:val="0"/>
                <w:szCs w:val="21"/>
              </w:rPr>
              <w:t>（请填写本人课题、论文、讲学等学术方面的主要成就）</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060" w:hRule="atLeast"/>
          <w:jc w:val="center"/>
        </w:trPr>
        <w:tc>
          <w:tcPr>
            <w:tcW w:w="650" w:type="dxa"/>
            <w:tcBorders>
              <w:right w:val="single" w:color="auto" w:sz="4" w:space="0"/>
            </w:tcBorders>
            <w:noWrap w:val="0"/>
            <w:vAlign w:val="center"/>
          </w:tcPr>
          <w:p>
            <w:pPr>
              <w:widowControl/>
              <w:topLinePunct/>
              <w:jc w:val="center"/>
              <w:rPr>
                <w:rFonts w:ascii="宋体" w:hAnsi="宋体" w:cs="宋体"/>
                <w:kern w:val="0"/>
                <w:szCs w:val="21"/>
              </w:rPr>
            </w:pPr>
            <w:r>
              <w:rPr>
                <w:rFonts w:hint="eastAsia" w:ascii="宋体" w:hAnsi="宋体" w:cs="宋体"/>
                <w:kern w:val="0"/>
                <w:szCs w:val="21"/>
              </w:rPr>
              <w:t>个人工作业绩以及荣誉</w:t>
            </w:r>
          </w:p>
        </w:tc>
        <w:tc>
          <w:tcPr>
            <w:tcW w:w="8451" w:type="dxa"/>
            <w:gridSpan w:val="10"/>
            <w:tcBorders>
              <w:left w:val="single" w:color="auto" w:sz="4" w:space="0"/>
            </w:tcBorders>
            <w:noWrap w:val="0"/>
            <w:vAlign w:val="center"/>
          </w:tcPr>
          <w:p>
            <w:pPr>
              <w:widowControl/>
              <w:topLinePunct/>
              <w:rPr>
                <w:rFonts w:ascii="宋体" w:hAnsi="宋体" w:cs="宋体"/>
                <w:kern w:val="0"/>
                <w:szCs w:val="21"/>
              </w:rPr>
            </w:pPr>
            <w:r>
              <w:rPr>
                <w:rFonts w:hint="eastAsia" w:ascii="宋体" w:hAnsi="宋体" w:cs="宋体"/>
                <w:kern w:val="0"/>
                <w:szCs w:val="21"/>
              </w:rPr>
              <w:t>（请填写本人学习期间工作业绩和个人所获得的各项荣誉，可附页）</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767" w:hRule="atLeast"/>
          <w:jc w:val="center"/>
        </w:trPr>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topLinePunct/>
              <w:rPr>
                <w:rFonts w:ascii="宋体" w:hAnsi="宋体" w:cs="宋体"/>
                <w:kern w:val="0"/>
                <w:szCs w:val="21"/>
              </w:rPr>
            </w:pPr>
            <w:r>
              <w:rPr>
                <w:rFonts w:hint="eastAsia" w:ascii="宋体" w:hAnsi="宋体" w:cs="宋体"/>
                <w:kern w:val="0"/>
                <w:szCs w:val="21"/>
              </w:rPr>
              <w:t>个人承诺</w:t>
            </w:r>
          </w:p>
        </w:tc>
        <w:tc>
          <w:tcPr>
            <w:tcW w:w="8451" w:type="dxa"/>
            <w:gridSpan w:val="10"/>
            <w:tcBorders>
              <w:top w:val="single" w:color="auto" w:sz="4" w:space="0"/>
              <w:left w:val="single" w:color="auto" w:sz="4" w:space="0"/>
              <w:bottom w:val="single" w:color="auto" w:sz="4" w:space="0"/>
              <w:right w:val="single" w:color="auto" w:sz="4" w:space="0"/>
            </w:tcBorders>
            <w:noWrap w:val="0"/>
            <w:vAlign w:val="center"/>
          </w:tcPr>
          <w:p>
            <w:pPr>
              <w:widowControl/>
              <w:topLinePunct/>
              <w:rPr>
                <w:rFonts w:ascii="宋体" w:hAnsi="宋体" w:cs="宋体"/>
                <w:kern w:val="0"/>
                <w:szCs w:val="21"/>
              </w:rPr>
            </w:pPr>
            <w:r>
              <w:rPr>
                <w:rFonts w:hint="eastAsia" w:ascii="宋体" w:hAnsi="宋体" w:cs="宋体"/>
                <w:kern w:val="0"/>
                <w:szCs w:val="21"/>
              </w:rPr>
              <w:t>本人对上述所填内容的真实性负责，如有隐瞒，愿承担一切责任。</w:t>
            </w:r>
          </w:p>
          <w:p>
            <w:pPr>
              <w:widowControl/>
              <w:topLinePunct/>
              <w:rPr>
                <w:rFonts w:ascii="宋体" w:hAnsi="宋体" w:cs="宋体"/>
                <w:kern w:val="0"/>
                <w:szCs w:val="21"/>
              </w:rPr>
            </w:pPr>
          </w:p>
          <w:p>
            <w:pPr>
              <w:widowControl/>
              <w:topLinePunct/>
              <w:rPr>
                <w:rFonts w:ascii="宋体" w:hAnsi="宋体" w:cs="宋体"/>
                <w:kern w:val="0"/>
                <w:szCs w:val="21"/>
              </w:rPr>
            </w:pPr>
            <w:r>
              <w:rPr>
                <w:rFonts w:hint="eastAsia" w:ascii="宋体" w:hAnsi="宋体" w:cs="宋体"/>
                <w:kern w:val="0"/>
                <w:szCs w:val="21"/>
              </w:rPr>
              <w:t xml:space="preserve">              签名：                    填表时间：</w:t>
            </w:r>
          </w:p>
        </w:tc>
      </w:tr>
    </w:tbl>
    <w:p>
      <w:pPr>
        <w:spacing w:line="340" w:lineRule="exact"/>
        <w:rPr>
          <w:rFonts w:hint="eastAsia" w:ascii="仿宋_GB2312" w:eastAsia="仿宋_GB2312"/>
          <w:sz w:val="32"/>
          <w:szCs w:val="32"/>
        </w:rPr>
      </w:pPr>
      <w:r>
        <w:rPr>
          <w:rFonts w:hint="eastAsia" w:ascii="仿宋_GB2312" w:eastAsia="仿宋_GB2312"/>
          <w:sz w:val="32"/>
          <w:szCs w:val="32"/>
        </w:rPr>
        <w:t>附件2</w:t>
      </w:r>
    </w:p>
    <w:p>
      <w:pPr>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个人健康承诺书</w:t>
      </w:r>
    </w:p>
    <w:p>
      <w:pPr>
        <w:adjustRightInd w:val="0"/>
        <w:snapToGrid w:val="0"/>
        <w:jc w:val="center"/>
        <w:rPr>
          <w:rFonts w:ascii="楷体_GB2312" w:hAnsi="方正小标宋_GBK" w:eastAsia="楷体_GB2312" w:cs="方正小标宋_GBK"/>
          <w:szCs w:val="32"/>
        </w:rPr>
      </w:pPr>
      <w:r>
        <w:rPr>
          <w:rFonts w:ascii="楷体_GB2312" w:hAnsi="黑体" w:eastAsia="楷体_GB2312"/>
          <w:szCs w:val="32"/>
        </w:rPr>
        <w:t xml:space="preserve"> </w:t>
      </w:r>
    </w:p>
    <w:tbl>
      <w:tblPr>
        <w:tblStyle w:val="4"/>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姓名</w:t>
            </w:r>
          </w:p>
        </w:tc>
        <w:tc>
          <w:tcPr>
            <w:tcW w:w="2218" w:type="dxa"/>
            <w:noWrap w:val="0"/>
            <w:vAlign w:val="center"/>
          </w:tcPr>
          <w:p>
            <w:pPr>
              <w:spacing w:line="400" w:lineRule="exact"/>
              <w:jc w:val="center"/>
              <w:rPr>
                <w:rFonts w:ascii="仿宋_GB2312" w:cs="仿宋_GB2312"/>
                <w:sz w:val="24"/>
              </w:rPr>
            </w:pPr>
          </w:p>
        </w:tc>
        <w:tc>
          <w:tcPr>
            <w:tcW w:w="1020"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性别</w:t>
            </w:r>
          </w:p>
        </w:tc>
        <w:tc>
          <w:tcPr>
            <w:tcW w:w="2008" w:type="dxa"/>
            <w:gridSpan w:val="2"/>
            <w:noWrap w:val="0"/>
            <w:vAlign w:val="center"/>
          </w:tcPr>
          <w:p>
            <w:pPr>
              <w:spacing w:line="400" w:lineRule="exact"/>
              <w:jc w:val="center"/>
              <w:rPr>
                <w:rFonts w:ascii="仿宋_GB2312" w:cs="仿宋_GB2312"/>
                <w:sz w:val="24"/>
              </w:rPr>
            </w:pPr>
          </w:p>
        </w:tc>
        <w:tc>
          <w:tcPr>
            <w:tcW w:w="946"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年龄</w:t>
            </w:r>
          </w:p>
        </w:tc>
        <w:tc>
          <w:tcPr>
            <w:tcW w:w="872" w:type="dxa"/>
            <w:noWrap w:val="0"/>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ascii="仿宋_GB2312" w:hAnsi="仿宋_GB2312" w:cs="仿宋_GB2312"/>
                <w:sz w:val="24"/>
              </w:rPr>
            </w:pPr>
            <w:r>
              <w:rPr>
                <w:rFonts w:hint="eastAsia" w:ascii="仿宋_GB2312" w:hAnsi="仿宋_GB2312" w:cs="仿宋_GB2312"/>
                <w:sz w:val="24"/>
              </w:rPr>
              <w:t>身份证号码</w:t>
            </w:r>
          </w:p>
        </w:tc>
        <w:tc>
          <w:tcPr>
            <w:tcW w:w="3238" w:type="dxa"/>
            <w:gridSpan w:val="2"/>
            <w:noWrap w:val="0"/>
            <w:vAlign w:val="center"/>
          </w:tcPr>
          <w:p>
            <w:pPr>
              <w:spacing w:line="400" w:lineRule="exact"/>
              <w:jc w:val="center"/>
              <w:rPr>
                <w:rFonts w:hint="eastAsia" w:ascii="仿宋_GB2312" w:hAnsi="仿宋_GB2312" w:cs="仿宋_GB2312"/>
                <w:sz w:val="24"/>
              </w:rPr>
            </w:pPr>
          </w:p>
        </w:tc>
        <w:tc>
          <w:tcPr>
            <w:tcW w:w="1200"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手机号码</w:t>
            </w:r>
          </w:p>
        </w:tc>
        <w:tc>
          <w:tcPr>
            <w:tcW w:w="2626" w:type="dxa"/>
            <w:gridSpan w:val="3"/>
            <w:noWrap w:val="0"/>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hint="eastAsia" w:ascii="仿宋_GB2312" w:hAnsi="仿宋_GB2312" w:cs="仿宋_GB2312"/>
                <w:sz w:val="24"/>
              </w:rPr>
            </w:pPr>
            <w:r>
              <w:rPr>
                <w:rFonts w:hint="eastAsia" w:ascii="仿宋_GB2312" w:cs="仿宋_GB2312"/>
                <w:sz w:val="24"/>
              </w:rPr>
              <w:t>报考单位</w:t>
            </w:r>
          </w:p>
        </w:tc>
        <w:tc>
          <w:tcPr>
            <w:tcW w:w="3238" w:type="dxa"/>
            <w:gridSpan w:val="2"/>
            <w:noWrap w:val="0"/>
            <w:vAlign w:val="center"/>
          </w:tcPr>
          <w:p>
            <w:pPr>
              <w:spacing w:line="400" w:lineRule="exact"/>
              <w:jc w:val="center"/>
              <w:rPr>
                <w:rFonts w:hint="eastAsia" w:ascii="仿宋_GB2312" w:hAnsi="仿宋_GB2312" w:cs="仿宋_GB2312"/>
                <w:sz w:val="24"/>
              </w:rPr>
            </w:pPr>
          </w:p>
        </w:tc>
        <w:tc>
          <w:tcPr>
            <w:tcW w:w="1200" w:type="dxa"/>
            <w:noWrap w:val="0"/>
            <w:vAlign w:val="center"/>
          </w:tcPr>
          <w:p>
            <w:pPr>
              <w:spacing w:line="400" w:lineRule="exact"/>
              <w:jc w:val="center"/>
              <w:rPr>
                <w:rFonts w:ascii="仿宋_GB2312" w:cs="仿宋_GB2312"/>
                <w:sz w:val="24"/>
              </w:rPr>
            </w:pPr>
            <w:r>
              <w:rPr>
                <w:rFonts w:hint="eastAsia" w:ascii="仿宋_GB2312" w:cs="仿宋_GB2312"/>
                <w:sz w:val="24"/>
              </w:rPr>
              <w:t>报考岗位</w:t>
            </w:r>
          </w:p>
        </w:tc>
        <w:tc>
          <w:tcPr>
            <w:tcW w:w="2626" w:type="dxa"/>
            <w:gridSpan w:val="3"/>
            <w:noWrap w:val="0"/>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0"/>
            <w:vAlign w:val="center"/>
          </w:tcPr>
          <w:p>
            <w:pPr>
              <w:spacing w:line="400" w:lineRule="exact"/>
              <w:jc w:val="left"/>
              <w:rPr>
                <w:rFonts w:ascii="仿宋_GB2312" w:cs="仿宋_GB2312"/>
                <w:sz w:val="24"/>
              </w:rPr>
            </w:pPr>
            <w:r>
              <w:rPr>
                <w:rFonts w:hint="eastAsia" w:ascii="仿宋_GB2312" w:cs="仿宋_GB2312"/>
                <w:sz w:val="24"/>
              </w:rPr>
              <w:t>本人考前（面试前）14日内是否有以下情况：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1、出现发热、干咳、乏力、鼻塞、流涕、咽痛、腹泻等症状。</w:t>
            </w:r>
          </w:p>
        </w:tc>
        <w:tc>
          <w:tcPr>
            <w:tcW w:w="946"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946"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946" w:type="dxa"/>
            <w:noWrap w:val="0"/>
            <w:vAlign w:val="center"/>
          </w:tcPr>
          <w:p>
            <w:pPr>
              <w:spacing w:line="400" w:lineRule="exact"/>
              <w:jc w:val="center"/>
              <w:rPr>
                <w:rFonts w:hint="eastAsia"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hint="eastAsia"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4、从省外中高风险地区入浙或返浙。</w:t>
            </w:r>
          </w:p>
        </w:tc>
        <w:tc>
          <w:tcPr>
            <w:tcW w:w="946" w:type="dxa"/>
            <w:noWrap w:val="0"/>
            <w:vAlign w:val="center"/>
          </w:tcPr>
          <w:p>
            <w:pPr>
              <w:spacing w:line="400" w:lineRule="exact"/>
              <w:jc w:val="center"/>
              <w:rPr>
                <w:rFonts w:hint="eastAsia"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hint="eastAsia"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5、从境外（含港澳台）入浙或返浙。</w:t>
            </w:r>
          </w:p>
        </w:tc>
        <w:tc>
          <w:tcPr>
            <w:tcW w:w="946"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946"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7、与来自境外（含港澳台）、国内中高风险地区人员有接触史。</w:t>
            </w:r>
          </w:p>
        </w:tc>
        <w:tc>
          <w:tcPr>
            <w:tcW w:w="946"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8、共同居住家庭成员中是否有上述1至7的情况。</w:t>
            </w:r>
          </w:p>
        </w:tc>
        <w:tc>
          <w:tcPr>
            <w:tcW w:w="946" w:type="dxa"/>
            <w:noWrap w:val="0"/>
            <w:vAlign w:val="center"/>
          </w:tcPr>
          <w:p>
            <w:pPr>
              <w:spacing w:line="400" w:lineRule="exact"/>
              <w:jc w:val="center"/>
              <w:rPr>
                <w:rFonts w:hint="eastAsia"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hint="eastAsia"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noWrap w:val="0"/>
            <w:vAlign w:val="center"/>
          </w:tcPr>
          <w:p>
            <w:pPr>
              <w:adjustRightInd w:val="0"/>
              <w:snapToGrid w:val="0"/>
              <w:spacing w:line="400" w:lineRule="exact"/>
              <w:ind w:firstLine="480" w:firstLineChars="200"/>
              <w:rPr>
                <w:rFonts w:hint="eastAsia" w:ascii="仿宋_GB2312" w:hAnsi="仿宋_GB2312" w:cs="仿宋_GB2312"/>
                <w:sz w:val="24"/>
              </w:rPr>
            </w:pPr>
            <w:r>
              <w:rPr>
                <w:rFonts w:hint="eastAsia" w:ascii="仿宋_GB2312" w:hAnsi="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cs="仿宋_GB2312"/>
                <w:sz w:val="24"/>
              </w:rPr>
            </w:pPr>
            <w:r>
              <w:rPr>
                <w:rFonts w:hint="eastAsia" w:ascii="仿宋_GB2312" w:hAnsi="仿宋_GB2312" w:cs="仿宋_GB2312"/>
                <w:sz w:val="24"/>
              </w:rPr>
              <w:t>承诺人签名：</w:t>
            </w:r>
          </w:p>
          <w:p>
            <w:pPr>
              <w:spacing w:line="400" w:lineRule="exact"/>
              <w:jc w:val="center"/>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 xml:space="preserve"> 年   月   日</w:t>
            </w:r>
          </w:p>
        </w:tc>
      </w:tr>
    </w:tbl>
    <w:p>
      <w:pPr>
        <w:spacing w:line="240" w:lineRule="atLeast"/>
      </w:pPr>
    </w:p>
    <w:p>
      <w:pPr>
        <w:spacing w:line="340" w:lineRule="exact"/>
        <w:rPr>
          <w:rFonts w:hint="eastAsia" w:ascii="仿宋_GB2312" w:eastAsia="仿宋_GB2312"/>
          <w:sz w:val="32"/>
          <w:szCs w:val="32"/>
        </w:rPr>
      </w:pPr>
    </w:p>
    <w:p/>
    <w:sectPr>
      <w:headerReference r:id="rId3" w:type="default"/>
      <w:footerReference r:id="rId4" w:type="default"/>
      <w:footerReference r:id="rId5" w:type="even"/>
      <w:pgSz w:w="11906" w:h="16838"/>
      <w:pgMar w:top="1588" w:right="1531" w:bottom="1588" w:left="1531"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汉仪书宋二S">
    <w:altName w:val="Arial Unicode MS"/>
    <w:panose1 w:val="00000000000000000000"/>
    <w:charset w:val="00"/>
    <w:family w:val="auto"/>
    <w:pitch w:val="default"/>
    <w:sig w:usb0="00000000" w:usb1="00000000" w:usb2="00000000" w:usb3="00000000" w:csb0="00040001" w:csb1="00000000"/>
  </w:font>
  <w:font w:name="东文宋体">
    <w:altName w:val="Arial Unicode MS"/>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63738"/>
    <w:rsid w:val="4A6637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2021-07-15T04:48:00Z</dcterms:created>
  <dc:creator>User</dc:creator>
  <cp:lastModifiedBy>User</cp:lastModifiedBy>
  <dcterms:modified xsi:type="dcterms:W3CDTF">2021-07-15T04:49:32Z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0E0B63EB8B704AFAB4D4D966E235C749</vt:lpwstr>
  </property>
</Properties>
</file>